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厦门市大西山一类固定监测站升级改造项目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CGXM-2025-350201-00490[2025]00270</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[350201]GTCG[GK]2025001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厦门市无线电管理局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厦门市同安国投招标代理有限公司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2025年06月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厦门市同安国投招标代理有限公司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厦门市大西山一类固定监测站升级改造项目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CGXM-2025-350201-00490[2025]00270</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[350201]GTCG[GK]2025001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按照《关于调整优化节能产品、环境标志产品政府采购执行机制的通知》（财库〔2019〕9号）以及最新的《节能产品政府采购品目清单》规定执行。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按照《关于调整优化节能产品、环境标志产品政府采购执行机制的通知》（财库〔2019〕9号）以及最新的《环境标志产品政府采购品目清单》规定执行。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本采购包允许供应商采用资格承诺制。① 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 供应商可自行选择是否提供资格承诺函，若不提供资格承诺函，则应按采购文件要求提供《中华人民共和国政府采购法实施条例》第十七条第一款规定的资格条件证明材料。③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关于信用记录的补充说明</w:t>
            </w:r>
          </w:p>
        </w:tc>
        <w:tc>
          <w:tcPr>
            <w:tcW w:type="dxa" w:w="4614"/>
          </w:tcPr>
          <w:p>
            <w:pPr>
              <w:pStyle w:val="null3"/>
              <w:jc w:val="left"/>
            </w:pPr>
            <w:r>
              <w:rPr>
                <w:rFonts w:ascii="仿宋_GB2312" w:hAnsi="仿宋_GB2312" w:cs="仿宋_GB2312" w:eastAsia="仿宋_GB2312"/>
              </w:rPr>
              <w:t>信用记录查询渠道增加“信用中国（福建厦门）”网站（credit.xm.gov.cn）。依据《财政部关于在政府采购活动中查询及使用信用记录有关问题的通知》财库〔2016〕125号规定及厦门市财政局《关于进一步规范供应商信用记录查询使用的通知》（厦财采〔2020〕14号）的规定执行，具体要求如下：①信用记录查询的截止时点：本项目投标文件递交截止时间当日；②信用记录查询渠道：“信用中国”网站（www.creditchina.gov.cn）、中国政府采购网（www.ccgp.gov.cn）、“信用中国（福建厦门）”网站（credit.xm.gov.cn）；③信用记录的查询及证据留存的具体方式：由资格审查人员通过上述信用信息查询渠道查询供应商的信用记录，并将查询结果打印后随采购文件一并存档；④信用信息的使用：资格审查人员将对供应商信用记录进行甄别，对存在参加本项目采购活动(提交投标文件截止时间)前三年内被列入失信被执行人名单、重大税收违法案件当事人名单、政府采购严重违法失信行为记录名单及其他重大违法记录，且相关信用惩戒期限未满的、及其他不符合《中华人民共和国政府采购法》第二十二条规定条件）的供应商，将认定其资格审查不合格；⑤因查询渠道网站原因导致查无供应商信息的，不认定供应商资格审查不合格；评审结束后，通过其他渠道发现供应商存在不良信用记录的，不认定为资格审查错误，将依照有关规定进行调查处理。⑥本项目不要求供应商在其投标文件中提供信用记录查询结果（但供应商应在参加采购活动前查询并了解自身的信用记录情况）。若供应商自行提供查询结果的，仍以资格审查人员查询结果为准；⑦采购文件其他章节有关信用记录查询使用的内容与本要求不一致的，以本要求为准。</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厦门市无线电管理局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厦门市思明区会展南二路200号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0592-5808980</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厦门市同安国投招标代理有限公司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厦门市同安区新安路 17 号人寿大厦 702 室</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361100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洪菱</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0592-7121616</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厦门市同安国投招标代理有限公司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3,010,000.00</w:t>
      </w:r>
    </w:p>
    <w:p>
      <w:pPr>
        <w:pStyle w:val="null3"/>
        <w:jc w:val="left"/>
      </w:pPr>
      <w:r>
        <w:rPr>
          <w:rFonts w:ascii="仿宋_GB2312" w:hAnsi="仿宋_GB2312" w:cs="仿宋_GB2312" w:eastAsia="仿宋_GB2312"/>
        </w:rPr>
        <w:t>采购包最高限价（元）: 3,010,000.00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厦门市大西山一类固定监测站升级改造</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3,010,000.00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厦门市大西山一类固定监测站升级改造</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厦门市大西山一类固定监测站升级改造</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厦门市大西山一类固定监测站升级改造</w:t>
            </w:r>
          </w:p>
        </w:tc>
        <w:tc>
          <w:tcPr>
            <w:tcW w:type="dxa" w:w="2076"/>
          </w:tcPr>
          <w:p>
            <w:pPr>
              <w:pStyle w:val="null3"/>
              <w:jc w:val="left"/>
            </w:pPr>
            <w:r>
              <w:rPr>
                <w:rFonts w:ascii="仿宋_GB2312" w:hAnsi="仿宋_GB2312" w:cs="仿宋_GB2312" w:eastAsia="仿宋_GB2312"/>
              </w:rPr>
              <w:t>厦门市大西山一类固定监测站升级改造</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3,010,000.00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为方便投标人更好了解本项目的现场基础资料和背景或其它需要了解的项目具体信息，避免在报价时因理解不清而影响今后项目的实施。投标人可以与采购人联系、咨询项目现场相关信息以便获取有关编制投标文件所涉及现场的资料，所涉及的费用和风险由投标人自行承担。现场踏勘联系截止时间为本项目报名截止时间后的第一个工作日，现场踏勘时间由采购人确定，联系人：卢先生，0592-5808980，（各投标人如有需求可在采购人规定时间到达现场考察，考察人员需提供公司介绍信及身份证资料）由于投标人对招标文件要求理解不正确或误解造成的一切后果和可能增加的费用均由投标人自行负责。采购人对投标人因未咨询而造成对本项目的误解以及投标人咨询后作出的任何推论、理解和结论均不负责任。</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收费标准（以中标金额为基数）具体为：基数≤100万元部分，按1.5%计取；100万元＜基数≤500万元部分，按1.1%计取；分段累进计算。中标人在领取中标通知书时，应向招标代理机构一次性付清代理服务费。招标代理服务费收款单位：厦门市同安国投招标代理有限公司，开户行：中国工商银行厦门同安支行，账号：4100028509200308214。②符合中小企业政策规定的企业，中标后可享受服务费下浮10%的优惠。</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提出询问，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由厦门市同安国投招标代理有限公司派出的工作人员至少1人，</w:t>
      </w:r>
      <w:r>
        <w:rPr>
          <w:rFonts w:ascii="仿宋_GB2312" w:hAnsi="仿宋_GB2312" w:cs="仿宋_GB2312" w:eastAsia="仿宋_GB2312"/>
        </w:rPr>
        <w:t>其余1人可为采购人代表或厦门市同安国投招标代理有限公司的工作人员。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本采购包允许供应商采用资格承诺制。① 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 供应商可自行选择是否提供资格承诺函，若不提供资格承诺函，则应按采购文件要求提供《中华人民共和国政府采购法实施条例》第十七条第一款规定的资格条件证明材料。③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关于信用记录的补充说明</w:t>
            </w:r>
          </w:p>
        </w:tc>
        <w:tc>
          <w:tcPr>
            <w:tcW w:type="dxa" w:w="4614"/>
          </w:tcPr>
          <w:p>
            <w:pPr>
              <w:pStyle w:val="null3"/>
              <w:jc w:val="left"/>
            </w:pPr>
            <w:r>
              <w:rPr>
                <w:rFonts w:ascii="仿宋_GB2312" w:hAnsi="仿宋_GB2312" w:cs="仿宋_GB2312" w:eastAsia="仿宋_GB2312"/>
              </w:rPr>
              <w:t>信用记录查询渠道增加“信用中国（福建厦门）”网站（credit.xm.gov.cn）。依据《财政部关于在政府采购活动中查询及使用信用记录有关问题的通知》财库〔2016〕125号规定及厦门市财政局《关于进一步规范供应商信用记录查询使用的通知》（厦财采〔2020〕14号）的规定执行，具体要求如下：①信用记录查询的截止时点：本项目投标文件递交截止时间当日；②信用记录查询渠道：“信用中国”网站（www.creditchina.gov.cn）、中国政府采购网（www.ccgp.gov.cn）、“信用中国（福建厦门）”网站（credit.xm.gov.cn）；③信用记录的查询及证据留存的具体方式：由资格审查人员通过上述信用信息查询渠道查询供应商的信用记录，并将查询结果打印后随采购文件一并存档；④信用信息的使用：资格审查人员将对供应商信用记录进行甄别，对存在参加本项目采购活动(提交投标文件截止时间)前三年内被列入失信被执行人名单、重大税收违法案件当事人名单、政府采购严重违法失信行为记录名单及其他重大违法记录，且相关信用惩戒期限未满的、及其他不符合《中华人民共和国政府采购法》第二十二条规定条件）的供应商，将认定其资格审查不合格；⑤因查询渠道网站原因导致查无供应商信息的，不认定供应商资格审查不合格；评审结束后，通过其他渠道发现供应商存在不良信用记录的，不认定为资格审查错误，将依照有关规定进行调查处理。⑥本项目不要求供应商在其投标文件中提供信用记录查询结果（但供应商应在参加采购活动前查询并了解自身的信用记录情况）。若供应商自行提供查询结果的，仍以资格审查人员查询结果为准；⑦采购文件其他章节有关信用记录查询使用的内容与本要求不一致的，以本要求为准。</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不满足招标文件中★ 条款要求</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不满足招标文件中★ 条款要求</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应实质性符合招标文件的商务条件要求【含交货时间、交货地点、交货条件、是否邀请投标人验收、履约验收方式、合同支付方式、履约保证金、售后服务等相关要求】，否则将不能通过商务符合性审查。</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不能诚信履约的，将要求其在评标现场合理的时间内提供书面说明，必要时还将要求其提交有关证明材料；投标人不能证明其报价合理性的，评标委员会可将其作为投标无效处理。【说明：本项目采用远程交易模式，经评标委员会确认为上述低价情形需提交相关证明材料的，评标委员会在系统中发起“价格澄清”，投标人应在系统要求的时限内在系统中响应，提交澄清说明或上传有关证明材料。投标人应考虑低价可能出现的上述情形，提前按采购文件规定准备好相关材料、携带CA及可上网的电脑，全程实时关注福建省政府采购网厦门市分网的在线评审大厅。若未在系统要求的时限内响应的，投标人需自行承担相关责任】</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厦门市同安国投招标代理有限公司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-20%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1.20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固定监测站功能。根据投标人所投产品满足：（1）单频测量：对指定频率的信号进行实时测量，包括频率测量、电平测量、场强和功率通量密度测量、占用带宽测量、调制测量、脉冲测量、频率使用率测量、无用发射测量、信号分析和发射机类别识别等；可显示频谱包络线和柱状图，显示信号实时值、均值、最大值、最小值频谱，显示瀑布图及数字荧光谱。完全满足的得1.2分，不满足不得分。注：投标人需提供第三方测试合格报告扫描件或操作界面功能截图或产品手册予以证明。</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1.20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固定监测站功能。根据投标人所投产品满足：（2）频段扫描监测: 对指定频段内信号按设定的参数进行扫描监测，设置的参数至少包括中频带宽、工作模式、衰减、静噪、有信号驻留时间和无信号停顿时间等。在扫描的同时可识别频段内的合法已知信号和非法未知信号；可显示频谱包络线和柱状图，显示信号实时值、均值、最大值、最小值频谱，显示瀑布图。在频谱上可对需要监听频点进行监听操作。可进行信道占用度和频段占用度统计。完全满足的得1.2分，不满足不得分。 注：投标人需提供第三方测试合格报告扫描件或操作界面功能截图或产品手册予以证明。</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1.20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固定监测站功能。根据投标人所投产品满足：（3）频率列表扫描离散监测:对多个或一组频率按设定的参数进行扫描监测，设置的参数至少包括中频带宽、工作模式、衰减、静噪、有信号驻留时间和无信号停顿时间等。在频谱上可对需要监听频点进行监听操作；可显示信号实时值、均值、最大值、最小值频谱，显示瀑布图。可进行信道占用度和频段占用度统计。完全满足的得1.2分，不满足不得分。 注：投标人需提供第三方测试合格报告扫描件或操作界面功能截图或产品手册予以证明。</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1.20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固定监测站功能。根据投标人所投产品满足：（4）信号自动对比分析:在扫描过程中可自动计算、生成电磁频谱背景信号样本并将其存入数据库，能够自动进行背景噪声计算、信号提取，并能够与数据库进行比对，判别信号的属性，显示信号频率、截获次数、截获概率、首次截获时间、最新截获时间、信号幅度等信息。可在频谱上对任意频点进行信号类型（包括台站信号、非法信号、合法不明信号等）标注，并可设置信号带宽、调制方式、信号名称等。完全满足的得1.2分，不满足不得分。 注：投标人需提供第三方测试合格报告扫描件或操作界面功能截图或产品手册予以证明。</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1.20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固定监测站功能。根据投标人所投产品满足：（5）固定频率测向:在固定频率测向时，能够显示固定频率测向控制参数，可显示频谱包络线和柱状图，显示信号实时值、均值、最大值、最小值频谱，显示瀑布图。能够以列表的方式显示目标信号来波方向，以图形方式显示目标信号的来波方向。能够在电子地图上绘制示向线并显示信号实时强度和测向方位角。完全满足的得1.2分，不满足不得分。 注：投标人需提供第三方测试合格报告扫描件或操作界面功能截图或产品手册予以证明。</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1.20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固定监测站功能。根据投标人所投产品满足：（6）宽带测向功能:支持宽带测向，能够在中频带宽范围内，实现对大于测向门限的多个信号同时进行高速FFT测向，以列表方式显示测向结果，同时显示频谱图、瀑布图和累积方位图。列表显示所有测向频点结果信息，包括频率、当前示向度、最优示向度、电平最大值、截获率等。完全满足的得1.2分，不满足不得分。 注：投标人需提供第三方测试合格报告扫描件或操作界面功能截图或产品手册予以证明。</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1.20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固定监测站功能。根据投标人所投产品满足：（7） 频段测向功能:对频段内大于设定门限的信号依次进行测向，给出被测信号的测向结果，同时显示频谱图、瀑布图；列表显示所有测向频点结果信息，包括频率、当前示向度、最优示向度、测向质量、截获率、信号强度等。完全满足的得1.2分，不满足不得分。 注：投标人需提供第三方测试合格报告扫描件或操作界面功能截图或产品手册予以证明。</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1.20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固定监测站功能。根据投标人所投产品满足：（8）监测数据存储及处理:支持对所有监测数据的存储，可对监测数据进行以下处理：实现对监测过程中原始数据的回放；具备原始数据无失真回放功能；对存储的监测数据、任务记录进行管理、查询、导入导出；对存储的监测结果数据进行打印浏览，对原始数据的回放分析；建立文件数据库。完全满足的得1.2分，不满足不得分。 注：投标人需提供第三方测试合格报告扫描件或操作界面功能截图或产品手册予以证明。</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1.20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固定监测站功能。根据投标人所投产品满足：（9）电子地图:支持高清电子地图，具备放大、缩小、测量、标志等基本功能，可显示监测站、示向线和台站等信息。完全满足的得1.2分，不满足不得分。 注：投标人需提供第三方测试合格报告扫描件或操作界面功能截图或产品手册予以证明。</w:t>
            </w:r>
          </w:p>
        </w:tc>
      </w:tr>
      <w:tr>
        <w:tc>
          <w:tcPr>
            <w:tcW w:type="dxa" w:w="3322"/>
          </w:tcPr>
          <w:p>
            <w:pPr>
              <w:pStyle w:val="null3"/>
              <w:jc w:val="both"/>
            </w:pPr>
            <w:r>
              <w:rPr>
                <w:rFonts w:ascii="仿宋_GB2312" w:hAnsi="仿宋_GB2312" w:cs="仿宋_GB2312" w:eastAsia="仿宋_GB2312"/>
              </w:rPr>
              <w:t>1.1.10</w:t>
            </w:r>
          </w:p>
        </w:tc>
        <w:tc>
          <w:tcPr>
            <w:tcW w:type="dxa" w:w="831"/>
          </w:tcPr>
          <w:p>
            <w:pPr>
              <w:pStyle w:val="null3"/>
              <w:jc w:val="right"/>
            </w:pPr>
            <w:r>
              <w:rPr>
                <w:rFonts w:ascii="仿宋_GB2312" w:hAnsi="仿宋_GB2312" w:cs="仿宋_GB2312" w:eastAsia="仿宋_GB2312"/>
              </w:rPr>
              <w:t>1.20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固定监测站功能。根据投标人所投产品满足：（10）系统遥控和联网:可进行远程开关机和操作。遵循国家统一的技术标准和规范要求，能够联入厦门市监测控制中心，实现由市监控中心或省指挥中心直接控制和调度，联网协议遵循国家无线电监测中心关于超短波无线电监测网建设规范；可对机房动力环境信息进行实时采集监控。完全满足的得1.2分，不满足不得分。 注：投标人需提供第三方测试合格报告扫描件或操作界面功能截图或产品手册予以证明。</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专用信号监测解调解码功能。根据投标人提供的专用信号监测解调解码功能进行评分。①支持对公众移动通信（2G/3G/4G/5G）信号进行解码，识别国别和运营商基站信息（如基站ID号、网络制式等参数），通信制式包括：GSM，CDMA，EVDO，WCDMA， TD-SCDMA，TD-LTE，FDD-LTE 等，并识别伪基站和不明基站。 ②支持对多种制式广播电视信号的解调分析能力，能够还原其连续图像和语音，实现对播出地面电视信号的图像监视及声音监听，能够对PAL-D/DTMB/DVB-T/DVB-T2模拟/数字电视解调解码。 ③数字对讲机解调：支持DMR、NXDN、DPMR、PDT、TETRA主流数字对讲标准通信协议解析支持DMR、NXDN、DPMR、PDT、TETRA主流数字对讲标准通信协议解析。 每符合一项得1分，满分3分。注：需提供第三方检测报告扫描件或操作界面功能截图或产品手册截图予以证明。投标人所提供的证明材料与投标响应情况（承诺）不一致时，以证明材料为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新型数传信号监管功能。根据投标人提供的新型数传信号监管功能进行评分。①具备数传信号解析和压制能力，支持常见的RS2009、云系列、sunlips、TK系列等考试作弊数传器材的解析和压制。②具备未知信号的处理功能，对不能解析的可疑信号，可进行信号的IQ数据录制。③具备自动生成监测情况报告功能。 每符合一项得1分，满分3分。注：需提供第三方检测报告扫描件或操作界面功能截图或产品手册截图予以证明。投标人所提供的证明材料与投标响应情况（承诺）不一致时，以证明材料为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校准信号源功能。根据投标人提供的校准信号源功能进行评分。①发射功率大于等于10dBm，功率可调。②能够通过公网进行远距离控制和网线直连控制，支持基于IQ文件的信号制式升级。③能够具备CLOUD5、CLOUD6、CLOUD8、TKF6、TK F6 PLUS等多组考试作弊信号和多种线性雷达信号发射功能。 每符合一项得1分，满分3分。 投标人需提供第三方检测报告扫描件或操作界面功能截图或产品手册截图予以证明。投标人所提供的证明材料与投标响应情况（承诺）不一致时，以证明材料为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测向天线极化方式。根据投标人提供测向天线在20MHz～6GHz频率范围极化实现方式进行评分。 具备垂直和水平双极化的，得3分。投标人需提供由国家认可的检测机构出具的具有CMA或CNAS标识的检测报告作为佐证。投标人所提供的证明材料与投标响应情况（承诺）不一致时，以证明材料为准。（投标人可在其提供的证明材料上以划线等方式注明对应的技术参数，以利评委审阅）。投标人未提供佐证材料证明，但承诺满足的得0.5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监测天线频率范围。根据投标人对原ESMD接收机（利旧）进行升级改造，配备的监测天线频率范围进行评分。①监测频率范围＞18GHz，得3分。②18GHz≥监测频率范围＞8GHz，得2分。③8GHz≥监测频率范围＞6GHz，得1分。其他不得分。 需提供第三方检测报告扫描件或产品手册截图予以证明。投标人所提供的证明材料与投标响应情况（承诺）不一致时，以证明材料为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接收机升级监测频率范围。根据投标人对原ESMD接收机（利旧）进行升级改造，实现的监测频率范围进行评分。①监测频率范围＞18GHz，得3分。②18GHz≥监测频率范围＞8GHz，得2分。③8GHz≥监测频率范围＞6GHz，得1分。其他不得分。 需提供由国家认可的检测机构出具的具有CMA或CNAS标识的检测报告作为佐证，否则不得分。投标人所提供的证明材料与投标响应情况（承诺）不一致时，以证明材料为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监测测向天线有源无源切换能力。根据投标人提供的监测测向天线有源无源切换能力进行评分：监测测向天线在20MHz～1.3GHz具备有源无源可切换，得3分，不具备的得分。 需提供具有CMA或CNAS资质的第三方检测机构出具的检测报告扫描件予以证明。（投标人可在其提供的证明材料上以划线等方式注明对应的技术参数，以利评委审阅）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测向频率范围。根据投标人提供的测向系统测向频率进行评分。①测向频率范围≥18GHz，得3分。②18GHz＞测向频率范围＞8GHz，得2分。③8GHz ≥测向频率范围＞6GHz，得1分 需提供第三方检测报告扫描件或产品手册截图予以证明。投标人所提供的证明材料与投标响应情况（承诺）不一致时，以证明材料为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测向准确度（测向精度）。根据投标人提供测向系统的测向准确度（测向精度）进行评分。①测向准确度（测向精度）≤1°（3GHz～6GHz,R.M.S，无反射环境，包括垂直和水平极化）得3分。 投标人需提供由国家认可检测机构出具的具有CMA或CNAS标识的检测报告作为佐证，检测标准为GB/T34089-2017《VHF/UHF无线电监测测向系统开场测试参数和测试方法》、YD/T3811-2020《3GHz-12.75GHz频段无线电测向系统测试方法》（有最新标准的按最新标准。（投标人可在其提供的证明材料上以划线等方式注明对应的技术参数，以利评委审阅）。投标人未提供佐证材料证明，但承诺满足的得0.5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测向灵敏度。根据投标人提供测向系统的测向灵敏度进行评分。 测向灵敏度≤10dBµV/m（30MHz～3GHz），≤15dBµV/m（3GHz～6GHz）（含垂直和水平极化），得3分。 投标人需提供由国家认可检测机构出具的具有CMA或CNAS标识的检测报告作为佐证，测向灵敏度（30MHz～3GHz）的检测项目必须在第三方检测机构的CMA或CNAS的授权范围内，检测标准为GB/T34089-2017《VHF/UHF无线电监测测向系统开场测试参数和测试方法》、YD/T3811-2020《3GHz-12.75GHz频段无线电测向系统测试方法》（有最新标准的按最新标准），否则不得分。（投标人可在其提供的证明材料上以划线等方式注明对应的技术参数，以利评委审阅）。投标人未提供佐证材料证明，但承诺满足的得0.5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测向时效（瞬时信号测向能力）。根据投标人提供测向系统的测向时效（瞬时信号测向能力）进行评分。①测向时效（瞬时信号测向能力）（单次突发信号，20MHz～6GHz，垂直或水平极化）≤0.2ms的，得3分。②测向时效（瞬时信号测向能力）（单次突发信号，20MHz～6GHz，垂直或水平极化）≤0.5ms的，得2分。③测向时效（瞬时信号测向能力）（单次突发信号，20MHz～6GHz，垂直或水平极化）≤0.8ms的，得1分。 投标人需提供由国家认可检测机构出具的具有CMA或CNAS标识的检测报告作为佐证，测向时效（瞬时信号测向能力）（30MHz～3GHz）的检测项目必须在第三方检测机构的CMA或CNAS的授权范围内，检测标准为GB/T34089-2017《VHF/UHF无线电监测测向系统开场测试参数和测试方法》、YD/T3811-2020《3GHz-12.75GHz频段无线电测向系统测试方法》（有最新标准的按最新标准），否则不得分。（投标人可在其提供的证明材料上以划线等方式注明对应的技术参数，以利评委审阅）。投标人未提供佐证材料证明，但承诺满足的得0.5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宽带测向能力。根据投标人提供测向接收机在20MHz～6GHz范围内的宽带测向能力进行评审。 测向接收机具备在一定中频测向宽带内捕获此带宽内的N个脉冲信号（发射间隔1MHz，周期是1秒，脉宽为3ms）的能力。①具备N≥70个脉冲信号的捕获能力，得3分；②具备N≥60个脉冲信号的捕获能力，得2分；③具备N≥40个脉冲信号的捕获能力，得1分；其他不得分。 投标人需提供由国家认可的CMA或CNAS资质的检测机构出具的检测报告作为佐证，否则不得分。（投标人可在其提供的证明材料上以划线等方式注明对应的技术参数，以利评委审阅）。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站点勘察。投标人在投标文件中提供详细的现场勘察报告。勘查报告应包含（1）站点现场勘察情况和（2）站点解决方案两方面。其中：（1）站点现场勘察情况包括站点基本信息、站点位置、站点情况描述、站点电磁环境情况等情况。评委根据投标人提供的站点现场勘查情况进行评分： ①报告内容包含的要点齐全、内容与要点相符、每个要点均有详细的阐述，且附有现场照片（需含站址现有外部天线和内部机柜照片），得2分； ②报告的内容与要点相符，且附有现场照片（需含站址现有外部天线和内部机柜照片），但要点不全，每有一个要点，得0.5分； ③未提供或内容存在明显错误、内容明显不适用于本项目需求的不得分。（2）站点解决方案包括机房情况（需说明供电、网络连接、消防、空调等实际实施计划或拟建设情况）、铁塔位置或拟建设情况、设备拟安装位置、机房布线等。评委根据投标人提供的站点解决方案进行评分： ①内容包含的要点齐全、内容与要点相符，每个要点均有详细阐述的，得1分； ②未提供或要点不全的不得分。（投标人可在其提供的证明材料上以划线等方式注明对应的技术参数，以利评委审阅）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天线适应性。根据投标人提供室外设备监测测向天线，满足IP66及以上防护等级测试(GB/T4208)和盐雾测试(GB/T2423)，同时满足的得2分，否则不得分。 投标人须提供第三方机构出具的带有CMA或CNAS标识的有效报告复印件或扫描件佐证，否则不得分。（投标人可在其提供的证明材料上以划线等方式注明对应的技术参数，以利评委审阅）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根据提供的核心产品制造商的资质和能力进行评审：①检测能力。②校准能力。 以上2项内容需提供CMA或CNAS认证证书，否则不予认可。提供每提供1项的得1分，未提供的不得分。注：须提供证书扫描件并加盖投标人公章，证书需在有效期内，否则不得分。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根据投标人提供的管理体系情况进行评审。具有有效的①质量管理体系认证。②信息技术服务管理体系认证。③信息安全管理体系认证。 提供每符合提供1项的得1分，未提供的不得分。注：须提供证书扫描件并加盖投标人公章，证书需在有效期内，否则不得分。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根据投标人所提供的本项目管理人员能力进行评审。①配备高级工程师和高级信息系统项目管理师的，得2分。 ②只配备配备高级工程师或高级信息系统项目管理师其中一个的，得1分，否则不得分。 投标人须提供人员证书扫描件、身份证扫描件、投标截止时间前六个月（不含投标截止时间的当月）中任一月份的社会保障资金缴纳凭据复印件并加盖投标人公章，未提供不得分。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质保期承诺情况进行评审。投标人所投所有产品（含软、硬件）质保期在满足本项目招标文件要求三年的基础上，再承诺延长质保期的，每延长一年得1分，满分2分。需提供承诺函（格式自拟），未提供的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维保方案进行评审。维保方案包括售后支持技术人员、故障响应时间、退返检测和维修期限、以旧换新（含备品备件情况）、巡检技术支持等内容。①维保方案要点齐全，要点与内容相符并展开阐述的的得2分；②维保方案要点和内容相符，但要点不齐，每缺少一个要点扣0.4分；③未提供或内容存在明显错误、内容明显不适用于本项目需求的不得分。 投标人需提供包括售后支持技术人员、故障响应时间、退返检测和维修期限、以旧换新（含备品备件情况）、巡检技术支持等内容在内的维保方案，格式自拟。</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根据投标人提供的2022年1月份至今(日期以合同签订日期为准)同类项目业绩情况进行评分。每提供1份合格的业绩得1分，满分3分。 同类项目指无线电监测固定站建设项目，投标人须提供该业绩项目的中标公告（提供相关网站中标公告的下载网页并注明网址）、中标通知书复印件、采购合同文本复印件，以及能够证明该业绩项目已经采购人验收合格的相关证明文件复印件（原件备查）。每个项目业绩的上述材料都必须提供完整，否则不得分。 注：本评审项与“2.6”同项目不得重复得分。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2022年1月1日至本项目截标时间止，由投标人同类项目的业主满意度评价（满意度指：评价为好、优、满意或90分以上等同档次评价，或表扬信等）情况进行评分：每提供1份有效满意度评价得1分，满分3分。同类项目指无线电监测固定站建设项目，须同时提供该满意度项目：①中标通知书复印件、②采购合同文本复印件，③验收合格的相关证明文件复印件，以及由业主单位出具的满意度评价证明材料并加盖业主单位公章。 注：本评审项与“2.5”同项目不得重复得分。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0"/>
          <w:color w:val="000000"/>
        </w:rPr>
        <w:t>本次拟升级改造的大西山一类固定监测站建设于2010年，2014年起投入使用，实际使用年限已超过10年，工作频率覆盖范围窄，已不符合国家最低6GHz的技术规范要求。为提升厦门市固定监测网整体能力，加强当前重点敏感区域无线电监管水平，本项目建设内容为升级改造大西山现有1座固定监测站，提升固定站高频段监测测向能力，满足国家一类固定站标准。</w:t>
      </w:r>
    </w:p>
    <w:p>
      <w:pPr>
        <w:pStyle w:val="null3"/>
        <w:ind w:firstLine="480"/>
        <w:jc w:val="both"/>
      </w:pPr>
      <w:r>
        <w:rPr>
          <w:rFonts w:ascii="仿宋_GB2312" w:hAnsi="仿宋_GB2312" w:cs="仿宋_GB2312" w:eastAsia="仿宋_GB2312"/>
          <w:sz w:val="21"/>
          <w:color w:val="000000"/>
        </w:rPr>
        <w:t xml:space="preserve"> 本项目的核心产品为：◆测向接收机。若本项目多家投标人提供的核心产品品牌相同的，按照招标文件第四章第6.4条处理。</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0"/>
          <w:b/>
          <w:color w:val="000000"/>
        </w:rPr>
        <w:t>（</w:t>
      </w:r>
      <w:r>
        <w:rPr>
          <w:rFonts w:ascii="仿宋_GB2312" w:hAnsi="仿宋_GB2312" w:cs="仿宋_GB2312" w:eastAsia="仿宋_GB2312"/>
          <w:sz w:val="20"/>
          <w:b/>
        </w:rPr>
        <w:t>一）总体要求</w:t>
      </w:r>
    </w:p>
    <w:p>
      <w:pPr>
        <w:pStyle w:val="null3"/>
        <w:ind w:firstLine="480"/>
        <w:jc w:val="left"/>
      </w:pPr>
      <w:r>
        <w:rPr>
          <w:rFonts w:ascii="仿宋_GB2312" w:hAnsi="仿宋_GB2312" w:cs="仿宋_GB2312" w:eastAsia="仿宋_GB2312"/>
          <w:sz w:val="20"/>
        </w:rPr>
        <w:t>1.</w:t>
      </w:r>
      <w:r>
        <w:rPr>
          <w:rFonts w:ascii="仿宋_GB2312" w:hAnsi="仿宋_GB2312" w:cs="仿宋_GB2312" w:eastAsia="仿宋_GB2312"/>
          <w:sz w:val="20"/>
        </w:rPr>
        <w:t>本项目升级的固定监测站需满足</w:t>
      </w:r>
      <w:r>
        <w:rPr>
          <w:rFonts w:ascii="仿宋_GB2312" w:hAnsi="仿宋_GB2312" w:cs="仿宋_GB2312" w:eastAsia="仿宋_GB2312"/>
          <w:sz w:val="20"/>
        </w:rPr>
        <w:t>《省级无线电监测设施建设规范和技术要求（试行）》（国无办函〔</w:t>
      </w:r>
      <w:r>
        <w:rPr>
          <w:rFonts w:ascii="仿宋_GB2312" w:hAnsi="仿宋_GB2312" w:cs="仿宋_GB2312" w:eastAsia="仿宋_GB2312"/>
          <w:sz w:val="20"/>
        </w:rPr>
        <w:t>2019</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号）</w:t>
      </w:r>
      <w:r>
        <w:rPr>
          <w:rFonts w:ascii="仿宋_GB2312" w:hAnsi="仿宋_GB2312" w:cs="仿宋_GB2312" w:eastAsia="仿宋_GB2312"/>
          <w:sz w:val="20"/>
        </w:rPr>
        <w:t>一</w:t>
      </w:r>
      <w:r>
        <w:rPr>
          <w:rFonts w:ascii="仿宋_GB2312" w:hAnsi="仿宋_GB2312" w:cs="仿宋_GB2312" w:eastAsia="仿宋_GB2312"/>
          <w:sz w:val="20"/>
        </w:rPr>
        <w:t>类固定站</w:t>
      </w:r>
      <w:r>
        <w:rPr>
          <w:rFonts w:ascii="仿宋_GB2312" w:hAnsi="仿宋_GB2312" w:cs="仿宋_GB2312" w:eastAsia="仿宋_GB2312"/>
          <w:sz w:val="20"/>
        </w:rPr>
        <w:t>建设要求</w:t>
      </w:r>
      <w:r>
        <w:rPr>
          <w:rFonts w:ascii="仿宋_GB2312" w:hAnsi="仿宋_GB2312" w:cs="仿宋_GB2312" w:eastAsia="仿宋_GB2312"/>
          <w:sz w:val="20"/>
        </w:rPr>
        <w:t>，总体能力要求如下：</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）基本监测功能：频率测量、电平测量、场强和功率通量密度测量、占用带宽测量、调制测量、脉冲测量、频率使用率测量、无用发射测量、信号分析和发射机类别识别等。</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）电磁环境测量</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）广播电视声音及图像信号监测</w:t>
      </w:r>
      <w:r>
        <w:rPr>
          <w:rFonts w:ascii="仿宋_GB2312" w:hAnsi="仿宋_GB2312" w:cs="仿宋_GB2312" w:eastAsia="仿宋_GB2312"/>
          <w:sz w:val="20"/>
        </w:rPr>
        <w:t>，</w:t>
      </w:r>
      <w:r>
        <w:rPr>
          <w:rFonts w:ascii="仿宋_GB2312" w:hAnsi="仿宋_GB2312" w:cs="仿宋_GB2312" w:eastAsia="仿宋_GB2312"/>
          <w:sz w:val="20"/>
        </w:rPr>
        <w:t>声音转文字提取以及对关键字的识别和告警等。</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）无线电测向及测向数据回放</w:t>
      </w:r>
      <w:r>
        <w:rPr>
          <w:rFonts w:ascii="仿宋_GB2312" w:hAnsi="仿宋_GB2312" w:cs="仿宋_GB2312" w:eastAsia="仿宋_GB2312"/>
          <w:sz w:val="20"/>
        </w:rPr>
        <w:t>，</w:t>
      </w:r>
      <w:r>
        <w:rPr>
          <w:rFonts w:ascii="仿宋_GB2312" w:hAnsi="仿宋_GB2312" w:cs="仿宋_GB2312" w:eastAsia="仿宋_GB2312"/>
          <w:sz w:val="20"/>
        </w:rPr>
        <w:t>能够对过去不少于</w:t>
      </w:r>
      <w:r>
        <w:rPr>
          <w:rFonts w:ascii="仿宋_GB2312" w:hAnsi="仿宋_GB2312" w:cs="仿宋_GB2312" w:eastAsia="仿宋_GB2312"/>
          <w:sz w:val="20"/>
        </w:rPr>
        <w:t>24</w:t>
      </w:r>
      <w:r>
        <w:rPr>
          <w:rFonts w:ascii="仿宋_GB2312" w:hAnsi="仿宋_GB2312" w:cs="仿宋_GB2312" w:eastAsia="仿宋_GB2312"/>
          <w:sz w:val="20"/>
        </w:rPr>
        <w:t>小时内出现过的干扰信号测向定位。</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）监测和测向实时并行</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）监测数据存储及处理</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）系统遥控和联网</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）系统自检</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）提供原子服务接入无线电管理一体化平台，实现接口标准化，</w:t>
      </w:r>
      <w:r>
        <w:rPr>
          <w:rFonts w:ascii="仿宋_GB2312" w:hAnsi="仿宋_GB2312" w:cs="仿宋_GB2312" w:eastAsia="仿宋_GB2312"/>
          <w:sz w:val="20"/>
        </w:rPr>
        <w:t>能够接入</w:t>
      </w:r>
      <w:r>
        <w:rPr>
          <w:rFonts w:ascii="仿宋_GB2312" w:hAnsi="仿宋_GB2312" w:cs="仿宋_GB2312" w:eastAsia="仿宋_GB2312"/>
          <w:sz w:val="20"/>
        </w:rPr>
        <w:t>国家、省级</w:t>
      </w:r>
      <w:r>
        <w:rPr>
          <w:rFonts w:ascii="仿宋_GB2312" w:hAnsi="仿宋_GB2312" w:cs="仿宋_GB2312" w:eastAsia="仿宋_GB2312"/>
          <w:sz w:val="20"/>
        </w:rPr>
        <w:t>以及厦门无线电管理</w:t>
      </w:r>
      <w:r>
        <w:rPr>
          <w:rFonts w:ascii="仿宋_GB2312" w:hAnsi="仿宋_GB2312" w:cs="仿宋_GB2312" w:eastAsia="仿宋_GB2312"/>
          <w:sz w:val="20"/>
        </w:rPr>
        <w:t>一体化平台。</w:t>
      </w:r>
    </w:p>
    <w:p>
      <w:pPr>
        <w:pStyle w:val="null3"/>
        <w:ind w:firstLine="480"/>
        <w:jc w:val="left"/>
      </w:pPr>
      <w:r>
        <w:rPr>
          <w:rFonts w:ascii="仿宋_GB2312" w:hAnsi="仿宋_GB2312" w:cs="仿宋_GB2312" w:eastAsia="仿宋_GB2312"/>
          <w:sz w:val="20"/>
        </w:rPr>
        <w:t>2.</w:t>
      </w:r>
      <w:r>
        <w:rPr>
          <w:rFonts w:ascii="仿宋_GB2312" w:hAnsi="仿宋_GB2312" w:cs="仿宋_GB2312" w:eastAsia="仿宋_GB2312"/>
          <w:sz w:val="20"/>
        </w:rPr>
        <w:t>本项目涉及的CPU芯片、操作系统和数据库应通过安全可靠测评，测评结果在中国信息安全测评中心安全可靠测评结果公告中可查询，符合《台式计算机政府采购需求标准》（2023年版）、《便携式计算机政府采购需求标准》（2023年版）、《一体式计算机政府采购需求标准》（2023年版）、《工作站政府采购需求标准》（2023年版）、《通用服务器政府采购需求标准》（2023年版）、《操作系统政府采购需求标准》（2023年版）、《数据库政府采购需求标准》（2023年版）。相关商用软件应防止出现知识产权或正版化纠纷。</w:t>
      </w:r>
    </w:p>
    <w:p>
      <w:pPr>
        <w:pStyle w:val="null3"/>
        <w:ind w:firstLine="480"/>
        <w:jc w:val="left"/>
      </w:pPr>
      <w:r>
        <w:rPr>
          <w:rFonts w:ascii="仿宋_GB2312" w:hAnsi="仿宋_GB2312" w:cs="仿宋_GB2312" w:eastAsia="仿宋_GB2312"/>
          <w:sz w:val="20"/>
          <w:b/>
        </w:rPr>
        <w:t>（二）固定监测站功能具体要求</w:t>
      </w:r>
    </w:p>
    <w:p>
      <w:pPr>
        <w:pStyle w:val="null3"/>
        <w:ind w:firstLine="480"/>
        <w:jc w:val="left"/>
      </w:pPr>
      <w:r>
        <w:rPr>
          <w:rFonts w:ascii="仿宋_GB2312" w:hAnsi="仿宋_GB2312" w:cs="仿宋_GB2312" w:eastAsia="仿宋_GB2312"/>
          <w:sz w:val="20"/>
          <w:b/>
        </w:rPr>
        <w:t>（1）单频测量</w:t>
      </w:r>
    </w:p>
    <w:p>
      <w:pPr>
        <w:pStyle w:val="null3"/>
        <w:ind w:firstLine="480"/>
        <w:jc w:val="left"/>
      </w:pPr>
      <w:r>
        <w:rPr>
          <w:rFonts w:ascii="仿宋_GB2312" w:hAnsi="仿宋_GB2312" w:cs="仿宋_GB2312" w:eastAsia="仿宋_GB2312"/>
          <w:sz w:val="20"/>
        </w:rPr>
        <w:t>对指定频率的信号进行实时测量，包括频率测量、电平测量、场强和功率通量密度测量、占用带宽测量、调制测量、脉冲测量、频率使用率测量、无用发射测量、信号分析和发射机类别识别等。可显示频谱包络线和柱状图，显示信号实时值、均值、最大值、最小值频谱，显示瀑布图及数字荧光谱。</w:t>
      </w:r>
    </w:p>
    <w:p>
      <w:pPr>
        <w:pStyle w:val="null3"/>
        <w:ind w:firstLine="480"/>
        <w:jc w:val="left"/>
      </w:pPr>
      <w:r>
        <w:rPr>
          <w:rFonts w:ascii="仿宋_GB2312" w:hAnsi="仿宋_GB2312" w:cs="仿宋_GB2312" w:eastAsia="仿宋_GB2312"/>
          <w:sz w:val="20"/>
          <w:b/>
        </w:rPr>
        <w:t>（2）频段扫描监测</w:t>
      </w:r>
    </w:p>
    <w:p>
      <w:pPr>
        <w:pStyle w:val="null3"/>
        <w:ind w:firstLine="480"/>
        <w:jc w:val="left"/>
      </w:pPr>
      <w:r>
        <w:rPr>
          <w:rFonts w:ascii="仿宋_GB2312" w:hAnsi="仿宋_GB2312" w:cs="仿宋_GB2312" w:eastAsia="仿宋_GB2312"/>
          <w:sz w:val="20"/>
        </w:rPr>
        <w:t>对指定频段内信号按设定的参数进行扫描监测，设置的参数至少包括中频带宽、工作模式、衰减、静噪、有信号驻留时间和无信号停顿时间等。在扫描的同时可识别频段内的合法已知信号和非法未知信号。可显示频谱包络线和柱状图，显示信号实时值、均值、最大值、最小值频谱，显示瀑布图。在频谱上可对需要监听频点进行监听操作。可进行信道占用度和频段占用度统计。</w:t>
      </w:r>
    </w:p>
    <w:p>
      <w:pPr>
        <w:pStyle w:val="null3"/>
        <w:ind w:firstLine="480"/>
        <w:jc w:val="left"/>
      </w:pPr>
      <w:r>
        <w:rPr>
          <w:rFonts w:ascii="仿宋_GB2312" w:hAnsi="仿宋_GB2312" w:cs="仿宋_GB2312" w:eastAsia="仿宋_GB2312"/>
          <w:sz w:val="20"/>
          <w:b/>
        </w:rPr>
        <w:t>（3）频率列表扫描离散监测</w:t>
      </w:r>
    </w:p>
    <w:p>
      <w:pPr>
        <w:pStyle w:val="null3"/>
        <w:ind w:firstLine="480"/>
        <w:jc w:val="left"/>
      </w:pPr>
      <w:r>
        <w:rPr>
          <w:rFonts w:ascii="仿宋_GB2312" w:hAnsi="仿宋_GB2312" w:cs="仿宋_GB2312" w:eastAsia="仿宋_GB2312"/>
          <w:sz w:val="20"/>
        </w:rPr>
        <w:t xml:space="preserve">对多个或一组频率按设定的参数进行扫描监测，设置的参数至少包括中频带宽、工作模式、衰减、静噪、有信号驻留时间和无信号停顿时间等。在频谱上可对需要监听频点进行监听操作。可显示信号实时值、均值、最大值、最小值频谱，显示瀑布图。可进行信道占用度和频段占用度统计。  </w:t>
      </w:r>
    </w:p>
    <w:p>
      <w:pPr>
        <w:pStyle w:val="null3"/>
        <w:ind w:firstLine="480"/>
        <w:jc w:val="left"/>
      </w:pPr>
      <w:r>
        <w:rPr>
          <w:rFonts w:ascii="仿宋_GB2312" w:hAnsi="仿宋_GB2312" w:cs="仿宋_GB2312" w:eastAsia="仿宋_GB2312"/>
          <w:sz w:val="20"/>
          <w:b/>
        </w:rPr>
        <w:t>（4）信号自动对比分析</w:t>
      </w:r>
    </w:p>
    <w:p>
      <w:pPr>
        <w:pStyle w:val="null3"/>
        <w:ind w:firstLine="480"/>
        <w:jc w:val="left"/>
      </w:pPr>
      <w:r>
        <w:rPr>
          <w:rFonts w:ascii="仿宋_GB2312" w:hAnsi="仿宋_GB2312" w:cs="仿宋_GB2312" w:eastAsia="仿宋_GB2312"/>
          <w:sz w:val="20"/>
        </w:rPr>
        <w:t>在扫描过程中可自动计算、生成电磁频谱背景信号样本并将其存入数据库，能够自动进行背景噪声计算、信号提取，并能够与数据库进行比对，判别信号的属性，显示信号频率、截获次数、截获概率、首次截获时间、最新截获时间、信号幅度等信息。可在频谱上对任意频点进行信号类型（包括台站信号、非法信号、合法不明信号等）标注，并可设置信号带宽、调制方式、信号名称等。</w:t>
      </w:r>
    </w:p>
    <w:p>
      <w:pPr>
        <w:pStyle w:val="null3"/>
        <w:ind w:firstLine="482"/>
        <w:jc w:val="left"/>
      </w:pPr>
      <w:r>
        <w:rPr>
          <w:rFonts w:ascii="仿宋_GB2312" w:hAnsi="仿宋_GB2312" w:cs="仿宋_GB2312" w:eastAsia="仿宋_GB2312"/>
          <w:sz w:val="20"/>
          <w:b/>
        </w:rPr>
        <w:t>（5）固定频率</w:t>
      </w:r>
      <w:r>
        <w:rPr>
          <w:rFonts w:ascii="仿宋_GB2312" w:hAnsi="仿宋_GB2312" w:cs="仿宋_GB2312" w:eastAsia="仿宋_GB2312"/>
          <w:sz w:val="20"/>
          <w:b/>
        </w:rPr>
        <w:t>测向</w:t>
      </w:r>
    </w:p>
    <w:p>
      <w:pPr>
        <w:pStyle w:val="null3"/>
        <w:ind w:firstLine="480"/>
        <w:jc w:val="left"/>
      </w:pPr>
      <w:r>
        <w:rPr>
          <w:rFonts w:ascii="仿宋_GB2312" w:hAnsi="仿宋_GB2312" w:cs="仿宋_GB2312" w:eastAsia="仿宋_GB2312"/>
          <w:sz w:val="20"/>
        </w:rPr>
        <w:t>在固定频率测向时，能够</w:t>
      </w:r>
      <w:r>
        <w:rPr>
          <w:rFonts w:ascii="仿宋_GB2312" w:hAnsi="仿宋_GB2312" w:cs="仿宋_GB2312" w:eastAsia="仿宋_GB2312"/>
          <w:sz w:val="20"/>
        </w:rPr>
        <w:t>显示固定频率测向控制参数</w:t>
      </w:r>
      <w:r>
        <w:rPr>
          <w:rFonts w:ascii="仿宋_GB2312" w:hAnsi="仿宋_GB2312" w:cs="仿宋_GB2312" w:eastAsia="仿宋_GB2312"/>
          <w:sz w:val="20"/>
        </w:rPr>
        <w:t>，</w:t>
      </w:r>
      <w:r>
        <w:rPr>
          <w:rFonts w:ascii="仿宋_GB2312" w:hAnsi="仿宋_GB2312" w:cs="仿宋_GB2312" w:eastAsia="仿宋_GB2312"/>
          <w:sz w:val="20"/>
        </w:rPr>
        <w:t>可显示频谱包络线和柱状图，显示信号实时值、均值、最大值、最小值频谱，显示瀑布图。</w:t>
      </w:r>
      <w:r>
        <w:rPr>
          <w:rFonts w:ascii="仿宋_GB2312" w:hAnsi="仿宋_GB2312" w:cs="仿宋_GB2312" w:eastAsia="仿宋_GB2312"/>
          <w:sz w:val="20"/>
        </w:rPr>
        <w:t>能够</w:t>
      </w:r>
      <w:r>
        <w:rPr>
          <w:rFonts w:ascii="仿宋_GB2312" w:hAnsi="仿宋_GB2312" w:cs="仿宋_GB2312" w:eastAsia="仿宋_GB2312"/>
          <w:sz w:val="20"/>
        </w:rPr>
        <w:t>以列表的方式显示目标信号来波方向，以图形方式显示目标信号的来波方向。</w:t>
      </w:r>
      <w:r>
        <w:rPr>
          <w:rFonts w:ascii="仿宋_GB2312" w:hAnsi="仿宋_GB2312" w:cs="仿宋_GB2312" w:eastAsia="仿宋_GB2312"/>
          <w:sz w:val="20"/>
        </w:rPr>
        <w:t>能够</w:t>
      </w:r>
      <w:r>
        <w:rPr>
          <w:rFonts w:ascii="仿宋_GB2312" w:hAnsi="仿宋_GB2312" w:cs="仿宋_GB2312" w:eastAsia="仿宋_GB2312"/>
          <w:sz w:val="20"/>
        </w:rPr>
        <w:t>在电子地图上绘制示向线并显示信号实时强度和测向方位角。</w:t>
      </w:r>
    </w:p>
    <w:p>
      <w:pPr>
        <w:pStyle w:val="null3"/>
        <w:ind w:firstLine="480"/>
        <w:jc w:val="left"/>
      </w:pPr>
      <w:r>
        <w:rPr>
          <w:rFonts w:ascii="仿宋_GB2312" w:hAnsi="仿宋_GB2312" w:cs="仿宋_GB2312" w:eastAsia="仿宋_GB2312"/>
          <w:sz w:val="20"/>
          <w:b/>
        </w:rPr>
        <w:t>（6）</w:t>
      </w:r>
      <w:r>
        <w:rPr>
          <w:rFonts w:ascii="仿宋_GB2312" w:hAnsi="仿宋_GB2312" w:cs="仿宋_GB2312" w:eastAsia="仿宋_GB2312"/>
          <w:sz w:val="20"/>
          <w:b/>
        </w:rPr>
        <w:t>宽带测向功能</w:t>
      </w:r>
    </w:p>
    <w:p>
      <w:pPr>
        <w:pStyle w:val="null3"/>
        <w:ind w:firstLine="480"/>
        <w:jc w:val="left"/>
      </w:pPr>
      <w:r>
        <w:rPr>
          <w:rFonts w:ascii="仿宋_GB2312" w:hAnsi="仿宋_GB2312" w:cs="仿宋_GB2312" w:eastAsia="仿宋_GB2312"/>
          <w:sz w:val="20"/>
        </w:rPr>
        <w:t>支持宽带测向，能够在</w:t>
      </w:r>
      <w:r>
        <w:rPr>
          <w:rFonts w:ascii="仿宋_GB2312" w:hAnsi="仿宋_GB2312" w:cs="仿宋_GB2312" w:eastAsia="仿宋_GB2312"/>
          <w:sz w:val="20"/>
        </w:rPr>
        <w:t>中频带宽范围内，实现对大于测向门限的多个信号同时进行高速</w:t>
      </w:r>
      <w:r>
        <w:rPr>
          <w:rFonts w:ascii="仿宋_GB2312" w:hAnsi="仿宋_GB2312" w:cs="仿宋_GB2312" w:eastAsia="仿宋_GB2312"/>
          <w:sz w:val="20"/>
        </w:rPr>
        <w:t>FFT</w:t>
      </w:r>
      <w:r>
        <w:rPr>
          <w:rFonts w:ascii="仿宋_GB2312" w:hAnsi="仿宋_GB2312" w:cs="仿宋_GB2312" w:eastAsia="仿宋_GB2312"/>
          <w:sz w:val="20"/>
        </w:rPr>
        <w:t>测向，以列表方式显示测向结果，同时显示频谱图、瀑布图和累积方位图。列表显示所有测向频点结果信息，包括频率、当前示向度、最优示向度、电平最大值、截获率等。</w:t>
      </w:r>
    </w:p>
    <w:p>
      <w:pPr>
        <w:pStyle w:val="null3"/>
        <w:ind w:firstLine="480"/>
        <w:jc w:val="left"/>
      </w:pPr>
      <w:r>
        <w:rPr>
          <w:rFonts w:ascii="仿宋_GB2312" w:hAnsi="仿宋_GB2312" w:cs="仿宋_GB2312" w:eastAsia="仿宋_GB2312"/>
          <w:sz w:val="20"/>
          <w:b/>
        </w:rPr>
        <w:t>（7）</w:t>
      </w:r>
      <w:r>
        <w:rPr>
          <w:rFonts w:ascii="仿宋_GB2312" w:hAnsi="仿宋_GB2312" w:cs="仿宋_GB2312" w:eastAsia="仿宋_GB2312"/>
          <w:sz w:val="20"/>
          <w:b/>
        </w:rPr>
        <w:t xml:space="preserve"> 频段测向功能</w:t>
      </w:r>
    </w:p>
    <w:p>
      <w:pPr>
        <w:pStyle w:val="null3"/>
        <w:ind w:firstLine="480"/>
        <w:jc w:val="left"/>
      </w:pPr>
      <w:r>
        <w:rPr>
          <w:rFonts w:ascii="仿宋_GB2312" w:hAnsi="仿宋_GB2312" w:cs="仿宋_GB2312" w:eastAsia="仿宋_GB2312"/>
          <w:sz w:val="20"/>
        </w:rPr>
        <w:t>对频段内大于设定门限的信号依次进行测向，给出被测信号的测向结果，同时显示频谱图、瀑布图。列表显示所有测向频点结果信息，包括频率、当前示向度、最优示向度、测向质量、截获率、信号强度等。</w:t>
      </w:r>
    </w:p>
    <w:p>
      <w:pPr>
        <w:pStyle w:val="null3"/>
        <w:ind w:firstLine="480"/>
        <w:jc w:val="left"/>
      </w:pPr>
      <w:r>
        <w:rPr>
          <w:rFonts w:ascii="仿宋_GB2312" w:hAnsi="仿宋_GB2312" w:cs="仿宋_GB2312" w:eastAsia="仿宋_GB2312"/>
          <w:sz w:val="20"/>
          <w:b/>
        </w:rPr>
        <w:t>（8）监测数据存储及处理</w:t>
      </w:r>
    </w:p>
    <w:p>
      <w:pPr>
        <w:pStyle w:val="null3"/>
        <w:ind w:firstLine="480"/>
        <w:jc w:val="left"/>
      </w:pPr>
      <w:r>
        <w:rPr>
          <w:rFonts w:ascii="仿宋_GB2312" w:hAnsi="仿宋_GB2312" w:cs="仿宋_GB2312" w:eastAsia="仿宋_GB2312"/>
          <w:sz w:val="20"/>
        </w:rPr>
        <w:t>支持对所有监测数据的存储，可对监测数据进行以下处理：实现对监测过程中原始数据的回放。具备原始数据无失真回放功能。对存储的监测数据、任务记录进行管理、查询、导入导出；对存储的监测结果数据进行打印浏览，对原始数据的回放分析；建立文件数据库。</w:t>
      </w:r>
    </w:p>
    <w:p>
      <w:pPr>
        <w:pStyle w:val="null3"/>
        <w:ind w:firstLine="480"/>
        <w:jc w:val="left"/>
      </w:pPr>
      <w:r>
        <w:rPr>
          <w:rFonts w:ascii="仿宋_GB2312" w:hAnsi="仿宋_GB2312" w:cs="仿宋_GB2312" w:eastAsia="仿宋_GB2312"/>
          <w:sz w:val="20"/>
          <w:b/>
        </w:rPr>
        <w:t>（9）</w:t>
      </w:r>
      <w:r>
        <w:rPr>
          <w:rFonts w:ascii="仿宋_GB2312" w:hAnsi="仿宋_GB2312" w:cs="仿宋_GB2312" w:eastAsia="仿宋_GB2312"/>
          <w:sz w:val="20"/>
          <w:b/>
        </w:rPr>
        <w:t>电子地图</w:t>
      </w:r>
    </w:p>
    <w:p>
      <w:pPr>
        <w:pStyle w:val="null3"/>
        <w:ind w:firstLine="480"/>
        <w:jc w:val="left"/>
      </w:pPr>
      <w:r>
        <w:rPr>
          <w:rFonts w:ascii="仿宋_GB2312" w:hAnsi="仿宋_GB2312" w:cs="仿宋_GB2312" w:eastAsia="仿宋_GB2312"/>
          <w:sz w:val="20"/>
        </w:rPr>
        <w:t>支持高清电子地图，具备放大、缩小、测量、标志等基本功能，可显示监测站、示向线和台站等信息。</w:t>
      </w:r>
    </w:p>
    <w:p>
      <w:pPr>
        <w:pStyle w:val="null3"/>
        <w:ind w:firstLine="480"/>
        <w:jc w:val="left"/>
      </w:pPr>
      <w:r>
        <w:rPr>
          <w:rFonts w:ascii="仿宋_GB2312" w:hAnsi="仿宋_GB2312" w:cs="仿宋_GB2312" w:eastAsia="仿宋_GB2312"/>
          <w:sz w:val="20"/>
          <w:b/>
        </w:rPr>
        <w:t>（10）系统遥控和联网</w:t>
      </w:r>
    </w:p>
    <w:p>
      <w:pPr>
        <w:pStyle w:val="null3"/>
        <w:ind w:firstLine="480"/>
        <w:jc w:val="left"/>
      </w:pPr>
      <w:r>
        <w:rPr>
          <w:rFonts w:ascii="仿宋_GB2312" w:hAnsi="仿宋_GB2312" w:cs="仿宋_GB2312" w:eastAsia="仿宋_GB2312"/>
          <w:sz w:val="20"/>
        </w:rPr>
        <w:t>可进行远程开关机和操作。遵循国家统一的技术标准和规范要求，能够联入厦门市监测控制中心，实现由市监控中心或省指挥中心直接控制和调度，联网协议遵循国家无线电监测中心关于超短波无线电监测网建设规范。可对机房动力环境信息进行实时采集监控。</w:t>
      </w:r>
    </w:p>
    <w:p>
      <w:pPr>
        <w:pStyle w:val="null3"/>
        <w:ind w:firstLine="480"/>
        <w:jc w:val="left"/>
      </w:pPr>
      <w:r>
        <w:rPr>
          <w:rFonts w:ascii="仿宋_GB2312" w:hAnsi="仿宋_GB2312" w:cs="仿宋_GB2312" w:eastAsia="仿宋_GB2312"/>
          <w:sz w:val="20"/>
          <w:b/>
        </w:rPr>
        <w:t>（三）固定监测站专用功能要求</w:t>
      </w:r>
    </w:p>
    <w:p>
      <w:pPr>
        <w:pStyle w:val="null3"/>
        <w:ind w:firstLine="480"/>
        <w:jc w:val="left"/>
      </w:pPr>
      <w:r>
        <w:rPr>
          <w:rFonts w:ascii="仿宋_GB2312" w:hAnsi="仿宋_GB2312" w:cs="仿宋_GB2312" w:eastAsia="仿宋_GB2312"/>
          <w:sz w:val="20"/>
        </w:rPr>
        <w:t>1.</w:t>
      </w:r>
      <w:r>
        <w:rPr>
          <w:rFonts w:ascii="仿宋_GB2312" w:hAnsi="仿宋_GB2312" w:cs="仿宋_GB2312" w:eastAsia="仿宋_GB2312"/>
          <w:sz w:val="20"/>
        </w:rPr>
        <w:t>专用信号监测解调解码功能</w:t>
      </w:r>
    </w:p>
    <w:p>
      <w:pPr>
        <w:pStyle w:val="null3"/>
        <w:ind w:firstLine="480"/>
        <w:jc w:val="left"/>
      </w:pPr>
      <w:r>
        <w:rPr>
          <w:rFonts w:ascii="仿宋_GB2312" w:hAnsi="仿宋_GB2312" w:cs="仿宋_GB2312" w:eastAsia="仿宋_GB2312"/>
          <w:sz w:val="20"/>
          <w:b/>
        </w:rPr>
        <w:t>（1）</w:t>
      </w:r>
      <w:r>
        <w:rPr>
          <w:rFonts w:ascii="仿宋_GB2312" w:hAnsi="仿宋_GB2312" w:cs="仿宋_GB2312" w:eastAsia="仿宋_GB2312"/>
          <w:sz w:val="20"/>
          <w:b/>
        </w:rPr>
        <w:t>公众移动及不明基站监测</w:t>
      </w:r>
    </w:p>
    <w:p>
      <w:pPr>
        <w:pStyle w:val="null3"/>
        <w:ind w:firstLine="480"/>
        <w:jc w:val="left"/>
      </w:pPr>
      <w:r>
        <w:rPr>
          <w:rFonts w:ascii="仿宋_GB2312" w:hAnsi="仿宋_GB2312" w:cs="仿宋_GB2312" w:eastAsia="仿宋_GB2312"/>
          <w:sz w:val="20"/>
        </w:rPr>
        <w:t>能对公众移动通信（</w:t>
      </w:r>
      <w:r>
        <w:rPr>
          <w:rFonts w:ascii="仿宋_GB2312" w:hAnsi="仿宋_GB2312" w:cs="仿宋_GB2312" w:eastAsia="仿宋_GB2312"/>
          <w:sz w:val="20"/>
        </w:rPr>
        <w:t>2G/3G/4G/5G</w:t>
      </w:r>
      <w:r>
        <w:rPr>
          <w:rFonts w:ascii="仿宋_GB2312" w:hAnsi="仿宋_GB2312" w:cs="仿宋_GB2312" w:eastAsia="仿宋_GB2312"/>
          <w:sz w:val="20"/>
        </w:rPr>
        <w:t>）信号进行解码。</w:t>
      </w:r>
    </w:p>
    <w:p>
      <w:pPr>
        <w:pStyle w:val="null3"/>
        <w:ind w:firstLine="480"/>
        <w:jc w:val="left"/>
      </w:pPr>
      <w:r>
        <w:rPr>
          <w:rFonts w:ascii="仿宋_GB2312" w:hAnsi="仿宋_GB2312" w:cs="仿宋_GB2312" w:eastAsia="仿宋_GB2312"/>
          <w:sz w:val="20"/>
          <w:b/>
        </w:rPr>
        <w:t>（2）</w:t>
      </w:r>
      <w:r>
        <w:rPr>
          <w:rFonts w:ascii="仿宋_GB2312" w:hAnsi="仿宋_GB2312" w:cs="仿宋_GB2312" w:eastAsia="仿宋_GB2312"/>
          <w:sz w:val="20"/>
          <w:b/>
        </w:rPr>
        <w:t>电视监测及其信号解调</w:t>
      </w:r>
    </w:p>
    <w:p>
      <w:pPr>
        <w:pStyle w:val="null3"/>
        <w:ind w:firstLine="480"/>
        <w:jc w:val="left"/>
      </w:pPr>
      <w:r>
        <w:rPr>
          <w:rFonts w:ascii="仿宋_GB2312" w:hAnsi="仿宋_GB2312" w:cs="仿宋_GB2312" w:eastAsia="仿宋_GB2312"/>
          <w:sz w:val="20"/>
        </w:rPr>
        <w:t>支持</w:t>
      </w:r>
      <w:r>
        <w:rPr>
          <w:rFonts w:ascii="仿宋_GB2312" w:hAnsi="仿宋_GB2312" w:cs="仿宋_GB2312" w:eastAsia="仿宋_GB2312"/>
          <w:sz w:val="20"/>
        </w:rPr>
        <w:t>各类</w:t>
      </w:r>
      <w:r>
        <w:rPr>
          <w:rFonts w:ascii="仿宋_GB2312" w:hAnsi="仿宋_GB2312" w:cs="仿宋_GB2312" w:eastAsia="仿宋_GB2312"/>
          <w:sz w:val="20"/>
        </w:rPr>
        <w:t>制式</w:t>
      </w:r>
      <w:r>
        <w:rPr>
          <w:rFonts w:ascii="仿宋_GB2312" w:hAnsi="仿宋_GB2312" w:cs="仿宋_GB2312" w:eastAsia="仿宋_GB2312"/>
          <w:sz w:val="20"/>
        </w:rPr>
        <w:t>电视信号解调</w:t>
      </w:r>
      <w:r>
        <w:rPr>
          <w:rFonts w:ascii="仿宋_GB2312" w:hAnsi="仿宋_GB2312" w:cs="仿宋_GB2312" w:eastAsia="仿宋_GB2312"/>
          <w:sz w:val="20"/>
        </w:rPr>
        <w:t>等。</w:t>
      </w:r>
    </w:p>
    <w:p>
      <w:pPr>
        <w:pStyle w:val="null3"/>
        <w:ind w:firstLine="480"/>
        <w:jc w:val="left"/>
      </w:pPr>
      <w:r>
        <w:rPr>
          <w:rFonts w:ascii="仿宋_GB2312" w:hAnsi="仿宋_GB2312" w:cs="仿宋_GB2312" w:eastAsia="仿宋_GB2312"/>
          <w:sz w:val="20"/>
          <w:b/>
        </w:rPr>
        <w:t>（3）</w:t>
      </w:r>
      <w:r>
        <w:rPr>
          <w:rFonts w:ascii="仿宋_GB2312" w:hAnsi="仿宋_GB2312" w:cs="仿宋_GB2312" w:eastAsia="仿宋_GB2312"/>
          <w:sz w:val="20"/>
          <w:b/>
        </w:rPr>
        <w:t>数字对讲机解调</w:t>
      </w:r>
    </w:p>
    <w:p>
      <w:pPr>
        <w:pStyle w:val="null3"/>
        <w:ind w:firstLine="480"/>
        <w:jc w:val="left"/>
      </w:pPr>
      <w:r>
        <w:rPr>
          <w:rFonts w:ascii="仿宋_GB2312" w:hAnsi="仿宋_GB2312" w:cs="仿宋_GB2312" w:eastAsia="仿宋_GB2312"/>
          <w:sz w:val="20"/>
        </w:rPr>
        <w:t>支持主流数字对讲标准通信协议解析。</w:t>
      </w:r>
    </w:p>
    <w:p>
      <w:pPr>
        <w:pStyle w:val="null3"/>
        <w:ind w:firstLine="480"/>
        <w:jc w:val="left"/>
      </w:pPr>
      <w:r>
        <w:rPr>
          <w:rFonts w:ascii="仿宋_GB2312" w:hAnsi="仿宋_GB2312" w:cs="仿宋_GB2312" w:eastAsia="仿宋_GB2312"/>
          <w:sz w:val="20"/>
          <w:b/>
        </w:rPr>
        <w:t>2.</w:t>
      </w:r>
      <w:r>
        <w:rPr>
          <w:rFonts w:ascii="仿宋_GB2312" w:hAnsi="仿宋_GB2312" w:cs="仿宋_GB2312" w:eastAsia="仿宋_GB2312"/>
          <w:sz w:val="20"/>
          <w:b/>
        </w:rPr>
        <w:t>新型数传信号监管</w:t>
      </w:r>
    </w:p>
    <w:p>
      <w:pPr>
        <w:pStyle w:val="null3"/>
        <w:ind w:firstLine="480"/>
        <w:jc w:val="left"/>
      </w:pPr>
      <w:r>
        <w:rPr>
          <w:rFonts w:ascii="仿宋_GB2312" w:hAnsi="仿宋_GB2312" w:cs="仿宋_GB2312" w:eastAsia="仿宋_GB2312"/>
          <w:sz w:val="20"/>
        </w:rPr>
        <w:t>新型数传信号监管能够实现高速扫频和实时定频收发双通道，支持信号扫描的同时，对特定信号进行监控、解析、干扰和压制；支持任意频点FSK、LoRa信号的解析；支持手动分析和自动分析工作模式。</w:t>
      </w:r>
    </w:p>
    <w:p>
      <w:pPr>
        <w:pStyle w:val="null3"/>
        <w:ind w:firstLine="480"/>
        <w:jc w:val="left"/>
      </w:pPr>
      <w:r>
        <w:rPr>
          <w:rFonts w:ascii="仿宋_GB2312" w:hAnsi="仿宋_GB2312" w:cs="仿宋_GB2312" w:eastAsia="仿宋_GB2312"/>
          <w:sz w:val="20"/>
          <w:b/>
        </w:rPr>
        <w:t>3.</w:t>
      </w:r>
      <w:r>
        <w:rPr>
          <w:rFonts w:ascii="仿宋_GB2312" w:hAnsi="仿宋_GB2312" w:cs="仿宋_GB2312" w:eastAsia="仿宋_GB2312"/>
          <w:sz w:val="20"/>
          <w:b/>
        </w:rPr>
        <w:t>校准信号源</w:t>
      </w:r>
    </w:p>
    <w:p>
      <w:pPr>
        <w:pStyle w:val="null3"/>
        <w:ind w:firstLine="480"/>
        <w:jc w:val="left"/>
      </w:pPr>
      <w:r>
        <w:rPr>
          <w:rFonts w:ascii="仿宋_GB2312" w:hAnsi="仿宋_GB2312" w:cs="仿宋_GB2312" w:eastAsia="仿宋_GB2312"/>
          <w:sz w:val="20"/>
        </w:rPr>
        <w:t>用于固定监测站日常校准使用，支持常见各类信号的发射功能，至少支持AM、FM、DMR、TETRA、2FSK、LORA、GSM、GPS、北斗、GLONASS导航等信号。内置锂电池，支持远程控制，可扩展升级。</w:t>
      </w:r>
    </w:p>
    <w:p>
      <w:pPr>
        <w:pStyle w:val="null3"/>
        <w:ind w:firstLine="480"/>
        <w:jc w:val="left"/>
      </w:pPr>
      <w:r>
        <w:rPr>
          <w:rFonts w:ascii="仿宋_GB2312" w:hAnsi="仿宋_GB2312" w:cs="仿宋_GB2312" w:eastAsia="仿宋_GB2312"/>
          <w:sz w:val="20"/>
          <w:b/>
        </w:rPr>
        <w:t>（三）固定监测站其他要求</w:t>
      </w:r>
    </w:p>
    <w:p>
      <w:pPr>
        <w:pStyle w:val="null3"/>
        <w:ind w:firstLine="480"/>
        <w:jc w:val="left"/>
      </w:pPr>
      <w:r>
        <w:rPr>
          <w:rFonts w:ascii="仿宋_GB2312" w:hAnsi="仿宋_GB2312" w:cs="仿宋_GB2312" w:eastAsia="仿宋_GB2312"/>
          <w:sz w:val="20"/>
        </w:rPr>
        <w:t>（1）</w:t>
      </w:r>
      <w:r>
        <w:rPr>
          <w:rFonts w:ascii="仿宋_GB2312" w:hAnsi="仿宋_GB2312" w:cs="仿宋_GB2312" w:eastAsia="仿宋_GB2312"/>
          <w:sz w:val="20"/>
        </w:rPr>
        <w:t>具备防风、防潮、防盐雾和抗雷击等性能，能适应站点所在地的自然气候。</w:t>
      </w:r>
    </w:p>
    <w:p>
      <w:pPr>
        <w:pStyle w:val="null3"/>
        <w:ind w:firstLine="480"/>
        <w:jc w:val="left"/>
      </w:pPr>
      <w:r>
        <w:rPr>
          <w:rFonts w:ascii="仿宋_GB2312" w:hAnsi="仿宋_GB2312" w:cs="仿宋_GB2312" w:eastAsia="仿宋_GB2312"/>
          <w:sz w:val="20"/>
        </w:rPr>
        <w:t>（2）</w:t>
      </w:r>
      <w:r>
        <w:rPr>
          <w:rFonts w:ascii="仿宋_GB2312" w:hAnsi="仿宋_GB2312" w:cs="仿宋_GB2312" w:eastAsia="仿宋_GB2312"/>
          <w:sz w:val="20"/>
        </w:rPr>
        <w:t>固定监测站须按照《超短波监测管理一体化平台技术规范》、《超短波监测管理一体化平台技术规范</w:t>
      </w:r>
      <w:r>
        <w:rPr>
          <w:rFonts w:ascii="仿宋_GB2312" w:hAnsi="仿宋_GB2312" w:cs="仿宋_GB2312" w:eastAsia="仿宋_GB2312"/>
          <w:sz w:val="20"/>
        </w:rPr>
        <w:t xml:space="preserve"> SOAP </w:t>
      </w:r>
      <w:r>
        <w:rPr>
          <w:rFonts w:ascii="仿宋_GB2312" w:hAnsi="仿宋_GB2312" w:cs="仿宋_GB2312" w:eastAsia="仿宋_GB2312"/>
          <w:sz w:val="20"/>
        </w:rPr>
        <w:t>报文结构补充说明》等要求进行设计，能够接入到上级监测控制中心</w:t>
      </w:r>
      <w:r>
        <w:rPr>
          <w:rFonts w:ascii="仿宋_GB2312" w:hAnsi="仿宋_GB2312" w:cs="仿宋_GB2312" w:eastAsia="仿宋_GB2312"/>
          <w:sz w:val="20"/>
        </w:rPr>
        <w:t>并</w:t>
      </w:r>
      <w:r>
        <w:rPr>
          <w:rFonts w:ascii="仿宋_GB2312" w:hAnsi="仿宋_GB2312" w:cs="仿宋_GB2312" w:eastAsia="仿宋_GB2312"/>
          <w:sz w:val="20"/>
        </w:rPr>
        <w:t>接入无线电管理一体化平台，接受监测控制中心的控制，实现与其他站点的联合监测。</w:t>
      </w:r>
    </w:p>
    <w:p>
      <w:pPr>
        <w:pStyle w:val="null3"/>
        <w:ind w:firstLine="480"/>
        <w:jc w:val="left"/>
      </w:pPr>
      <w:r>
        <w:rPr>
          <w:rFonts w:ascii="仿宋_GB2312" w:hAnsi="仿宋_GB2312" w:cs="仿宋_GB2312" w:eastAsia="仿宋_GB2312"/>
          <w:sz w:val="20"/>
          <w:b/>
        </w:rPr>
        <w:t>（</w:t>
      </w:r>
      <w:r>
        <w:rPr>
          <w:rFonts w:ascii="仿宋_GB2312" w:hAnsi="仿宋_GB2312" w:cs="仿宋_GB2312" w:eastAsia="仿宋_GB2312"/>
          <w:sz w:val="20"/>
          <w:b/>
        </w:rPr>
        <w:t>四</w:t>
      </w:r>
      <w:r>
        <w:rPr>
          <w:rFonts w:ascii="仿宋_GB2312" w:hAnsi="仿宋_GB2312" w:cs="仿宋_GB2312" w:eastAsia="仿宋_GB2312"/>
          <w:sz w:val="20"/>
          <w:b/>
        </w:rPr>
        <w:t>）</w:t>
      </w:r>
      <w:r>
        <w:rPr>
          <w:rFonts w:ascii="仿宋_GB2312" w:hAnsi="仿宋_GB2312" w:cs="仿宋_GB2312" w:eastAsia="仿宋_GB2312"/>
          <w:sz w:val="20"/>
          <w:b/>
        </w:rPr>
        <w:t>相关技术标准和依据</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）《省级无线电监测设施建设规范和技术要求（试行）》（国无办函〔</w:t>
      </w:r>
      <w:r>
        <w:rPr>
          <w:rFonts w:ascii="仿宋_GB2312" w:hAnsi="仿宋_GB2312" w:cs="仿宋_GB2312" w:eastAsia="仿宋_GB2312"/>
          <w:sz w:val="20"/>
        </w:rPr>
        <w:t>2019</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号）</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）《省级无线电管理“一体化”平台建设规范及技术要求》（国无办函〔</w:t>
      </w:r>
      <w:r>
        <w:rPr>
          <w:rFonts w:ascii="仿宋_GB2312" w:hAnsi="仿宋_GB2312" w:cs="仿宋_GB2312" w:eastAsia="仿宋_GB2312"/>
          <w:sz w:val="20"/>
        </w:rPr>
        <w:t>2019</w:t>
      </w:r>
      <w:r>
        <w:rPr>
          <w:rFonts w:ascii="仿宋_GB2312" w:hAnsi="仿宋_GB2312" w:cs="仿宋_GB2312" w:eastAsia="仿宋_GB2312"/>
          <w:sz w:val="20"/>
        </w:rPr>
        <w:t>〕</w:t>
      </w:r>
      <w:r>
        <w:rPr>
          <w:rFonts w:ascii="仿宋_GB2312" w:hAnsi="仿宋_GB2312" w:cs="仿宋_GB2312" w:eastAsia="仿宋_GB2312"/>
          <w:sz w:val="20"/>
        </w:rPr>
        <w:t>21</w:t>
      </w:r>
      <w:r>
        <w:rPr>
          <w:rFonts w:ascii="仿宋_GB2312" w:hAnsi="仿宋_GB2312" w:cs="仿宋_GB2312" w:eastAsia="仿宋_GB2312"/>
          <w:sz w:val="20"/>
        </w:rPr>
        <w:t>号）；</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ITU</w:t>
      </w:r>
      <w:r>
        <w:rPr>
          <w:rFonts w:ascii="仿宋_GB2312" w:hAnsi="仿宋_GB2312" w:cs="仿宋_GB2312" w:eastAsia="仿宋_GB2312"/>
          <w:sz w:val="20"/>
        </w:rPr>
        <w:t>频谱监测手册》；</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VHF/UHF</w:t>
      </w:r>
      <w:r>
        <w:rPr>
          <w:rFonts w:ascii="仿宋_GB2312" w:hAnsi="仿宋_GB2312" w:cs="仿宋_GB2312" w:eastAsia="仿宋_GB2312"/>
          <w:sz w:val="20"/>
        </w:rPr>
        <w:t>监测网功能和能力评估规范》（工信部无</w:t>
      </w:r>
      <w:r>
        <w:rPr>
          <w:rFonts w:ascii="仿宋_GB2312" w:hAnsi="仿宋_GB2312" w:cs="仿宋_GB2312" w:eastAsia="仿宋_GB2312"/>
          <w:sz w:val="20"/>
        </w:rPr>
        <w:t>2016379</w:t>
      </w:r>
      <w:r>
        <w:rPr>
          <w:rFonts w:ascii="仿宋_GB2312" w:hAnsi="仿宋_GB2312" w:cs="仿宋_GB2312" w:eastAsia="仿宋_GB2312"/>
          <w:sz w:val="20"/>
        </w:rPr>
        <w:t>号</w:t>
      </w:r>
      <w:r>
        <w:rPr>
          <w:rFonts w:ascii="仿宋_GB2312" w:hAnsi="仿宋_GB2312" w:cs="仿宋_GB2312" w:eastAsia="仿宋_GB2312"/>
          <w:sz w:val="20"/>
        </w:rPr>
        <w:t>-8</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VHF/UHF</w:t>
      </w:r>
      <w:r>
        <w:rPr>
          <w:rFonts w:ascii="仿宋_GB2312" w:hAnsi="仿宋_GB2312" w:cs="仿宋_GB2312" w:eastAsia="仿宋_GB2312"/>
          <w:sz w:val="20"/>
        </w:rPr>
        <w:t>频段监测任务流程规范》（工信部无</w:t>
      </w:r>
      <w:r>
        <w:rPr>
          <w:rFonts w:ascii="仿宋_GB2312" w:hAnsi="仿宋_GB2312" w:cs="仿宋_GB2312" w:eastAsia="仿宋_GB2312"/>
          <w:sz w:val="20"/>
        </w:rPr>
        <w:t>2016379</w:t>
      </w:r>
      <w:r>
        <w:rPr>
          <w:rFonts w:ascii="仿宋_GB2312" w:hAnsi="仿宋_GB2312" w:cs="仿宋_GB2312" w:eastAsia="仿宋_GB2312"/>
          <w:sz w:val="20"/>
        </w:rPr>
        <w:t>号</w:t>
      </w:r>
      <w:r>
        <w:rPr>
          <w:rFonts w:ascii="仿宋_GB2312" w:hAnsi="仿宋_GB2312" w:cs="仿宋_GB2312" w:eastAsia="仿宋_GB2312"/>
          <w:sz w:val="20"/>
        </w:rPr>
        <w:t>-20</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）《无线电管理频率数据库数据服务接口技术规范》（</w:t>
      </w:r>
      <w:r>
        <w:rPr>
          <w:rFonts w:ascii="仿宋_GB2312" w:hAnsi="仿宋_GB2312" w:cs="仿宋_GB2312" w:eastAsia="仿宋_GB2312"/>
          <w:sz w:val="20"/>
        </w:rPr>
        <w:t>GWJ010-2016</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）《无线电管理频率数据库结构技术规范》（</w:t>
      </w:r>
      <w:r>
        <w:rPr>
          <w:rFonts w:ascii="仿宋_GB2312" w:hAnsi="仿宋_GB2312" w:cs="仿宋_GB2312" w:eastAsia="仿宋_GB2312"/>
          <w:sz w:val="20"/>
        </w:rPr>
        <w:t>GWJ009-2016</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）《无线电台站数据管理服务接口规范》（</w:t>
      </w:r>
      <w:r>
        <w:rPr>
          <w:rFonts w:ascii="仿宋_GB2312" w:hAnsi="仿宋_GB2312" w:cs="仿宋_GB2312" w:eastAsia="仿宋_GB2312"/>
          <w:sz w:val="20"/>
        </w:rPr>
        <w:t>GWJ007-2016</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）《无线电管理一体化平台集成规范第</w:t>
      </w:r>
      <w:r>
        <w:rPr>
          <w:rFonts w:ascii="仿宋_GB2312" w:hAnsi="仿宋_GB2312" w:cs="仿宋_GB2312" w:eastAsia="仿宋_GB2312"/>
          <w:sz w:val="20"/>
        </w:rPr>
        <w:t>3</w:t>
      </w:r>
      <w:r>
        <w:rPr>
          <w:rFonts w:ascii="仿宋_GB2312" w:hAnsi="仿宋_GB2312" w:cs="仿宋_GB2312" w:eastAsia="仿宋_GB2312"/>
          <w:sz w:val="20"/>
        </w:rPr>
        <w:t>部分：平台级互联互通》；</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）《超短波监测管理一体化平台技术规范第</w:t>
      </w:r>
      <w:r>
        <w:rPr>
          <w:rFonts w:ascii="仿宋_GB2312" w:hAnsi="仿宋_GB2312" w:cs="仿宋_GB2312" w:eastAsia="仿宋_GB2312"/>
          <w:sz w:val="20"/>
        </w:rPr>
        <w:t>2</w:t>
      </w:r>
      <w:r>
        <w:rPr>
          <w:rFonts w:ascii="仿宋_GB2312" w:hAnsi="仿宋_GB2312" w:cs="仿宋_GB2312" w:eastAsia="仿宋_GB2312"/>
          <w:sz w:val="20"/>
        </w:rPr>
        <w:t>部分：服务设计》（</w:t>
      </w:r>
      <w:r>
        <w:rPr>
          <w:rFonts w:ascii="仿宋_GB2312" w:hAnsi="仿宋_GB2312" w:cs="仿宋_GB2312" w:eastAsia="仿宋_GB2312"/>
          <w:sz w:val="20"/>
        </w:rPr>
        <w:t>2018-1372T-YD</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）《超短波监测管理一体化平台技术规范第</w:t>
      </w:r>
      <w:r>
        <w:rPr>
          <w:rFonts w:ascii="仿宋_GB2312" w:hAnsi="仿宋_GB2312" w:cs="仿宋_GB2312" w:eastAsia="仿宋_GB2312"/>
          <w:sz w:val="20"/>
        </w:rPr>
        <w:t>3</w:t>
      </w:r>
      <w:r>
        <w:rPr>
          <w:rFonts w:ascii="仿宋_GB2312" w:hAnsi="仿宋_GB2312" w:cs="仿宋_GB2312" w:eastAsia="仿宋_GB2312"/>
          <w:sz w:val="20"/>
        </w:rPr>
        <w:t>部分：设备操作服务》（</w:t>
      </w:r>
      <w:r>
        <w:rPr>
          <w:rFonts w:ascii="仿宋_GB2312" w:hAnsi="仿宋_GB2312" w:cs="仿宋_GB2312" w:eastAsia="仿宋_GB2312"/>
          <w:sz w:val="20"/>
        </w:rPr>
        <w:t>2018-1373T-YD</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）《超短波监测管理一体化平台技术规范</w:t>
      </w:r>
      <w:r>
        <w:rPr>
          <w:rFonts w:ascii="仿宋_GB2312" w:hAnsi="仿宋_GB2312" w:cs="仿宋_GB2312" w:eastAsia="仿宋_GB2312"/>
          <w:sz w:val="20"/>
        </w:rPr>
        <w:t>SOAP</w:t>
      </w:r>
      <w:r>
        <w:rPr>
          <w:rFonts w:ascii="仿宋_GB2312" w:hAnsi="仿宋_GB2312" w:cs="仿宋_GB2312" w:eastAsia="仿宋_GB2312"/>
          <w:sz w:val="20"/>
        </w:rPr>
        <w:t>报文结构补充说明（共</w:t>
      </w:r>
      <w:r>
        <w:rPr>
          <w:rFonts w:ascii="仿宋_GB2312" w:hAnsi="仿宋_GB2312" w:cs="仿宋_GB2312" w:eastAsia="仿宋_GB2312"/>
          <w:sz w:val="20"/>
        </w:rPr>
        <w:t>3</w:t>
      </w:r>
      <w:r>
        <w:rPr>
          <w:rFonts w:ascii="仿宋_GB2312" w:hAnsi="仿宋_GB2312" w:cs="仿宋_GB2312" w:eastAsia="仿宋_GB2312"/>
          <w:sz w:val="20"/>
        </w:rPr>
        <w:t>部分）》；</w:t>
      </w:r>
    </w:p>
    <w:p>
      <w:pPr>
        <w:pStyle w:val="null3"/>
        <w:ind w:firstLine="420"/>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13</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GB/T34089-2017</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VHF/UHF</w:t>
      </w:r>
      <w:r>
        <w:rPr>
          <w:rFonts w:ascii="仿宋_GB2312" w:hAnsi="仿宋_GB2312" w:cs="仿宋_GB2312" w:eastAsia="仿宋_GB2312"/>
          <w:sz w:val="20"/>
          <w:shd w:fill="FFFFFF" w:val="clear"/>
        </w:rPr>
        <w:t>无线电监测测向系统开场测试参数和测试方法》；</w:t>
      </w:r>
    </w:p>
    <w:p>
      <w:pPr>
        <w:pStyle w:val="null3"/>
        <w:ind w:firstLine="420"/>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4</w:t>
      </w:r>
      <w:r>
        <w:rPr>
          <w:rFonts w:ascii="仿宋_GB2312" w:hAnsi="仿宋_GB2312" w:cs="仿宋_GB2312" w:eastAsia="仿宋_GB2312"/>
          <w:sz w:val="20"/>
          <w:shd w:fill="FFFFFF" w:val="clear"/>
        </w:rPr>
        <w:t>）</w:t>
      </w:r>
      <w:r>
        <w:rPr>
          <w:rFonts w:ascii="仿宋_GB2312" w:hAnsi="仿宋_GB2312" w:cs="仿宋_GB2312" w:eastAsia="仿宋_GB2312"/>
          <w:sz w:val="20"/>
        </w:rPr>
        <w:t>YD/T 3811-2020</w:t>
      </w:r>
      <w:r>
        <w:rPr>
          <w:rFonts w:ascii="仿宋_GB2312" w:hAnsi="仿宋_GB2312" w:cs="仿宋_GB2312" w:eastAsia="仿宋_GB2312"/>
          <w:sz w:val="20"/>
        </w:rPr>
        <w:t>《</w:t>
      </w:r>
      <w:r>
        <w:rPr>
          <w:rFonts w:ascii="仿宋_GB2312" w:hAnsi="仿宋_GB2312" w:cs="仿宋_GB2312" w:eastAsia="仿宋_GB2312"/>
          <w:sz w:val="20"/>
        </w:rPr>
        <w:t xml:space="preserve">3GHz~12.75GHz </w:t>
      </w:r>
      <w:r>
        <w:rPr>
          <w:rFonts w:ascii="仿宋_GB2312" w:hAnsi="仿宋_GB2312" w:cs="仿宋_GB2312" w:eastAsia="仿宋_GB2312"/>
          <w:sz w:val="20"/>
        </w:rPr>
        <w:t>频段无线电测向系统测试方法》</w:t>
      </w:r>
      <w:r>
        <w:rPr>
          <w:rFonts w:ascii="仿宋_GB2312" w:hAnsi="仿宋_GB2312" w:cs="仿宋_GB2312" w:eastAsia="仿宋_GB2312"/>
          <w:sz w:val="20"/>
          <w:shd w:fill="FFFFFF" w:val="clear"/>
        </w:rPr>
        <w:t>；</w:t>
      </w:r>
    </w:p>
    <w:p>
      <w:pPr>
        <w:pStyle w:val="null3"/>
        <w:ind w:firstLine="420"/>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5</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GB/T32401-2015</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VHF/UHF</w:t>
      </w:r>
      <w:r>
        <w:rPr>
          <w:rFonts w:ascii="仿宋_GB2312" w:hAnsi="仿宋_GB2312" w:cs="仿宋_GB2312" w:eastAsia="仿宋_GB2312"/>
          <w:sz w:val="20"/>
          <w:shd w:fill="FFFFFF" w:val="clear"/>
        </w:rPr>
        <w:t>频段无线电监测接收机技术要求及测试方法》；</w:t>
      </w:r>
    </w:p>
    <w:p>
      <w:pPr>
        <w:pStyle w:val="null3"/>
        <w:ind w:firstLine="420"/>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6</w:t>
      </w:r>
      <w:r>
        <w:rPr>
          <w:rFonts w:ascii="仿宋_GB2312" w:hAnsi="仿宋_GB2312" w:cs="仿宋_GB2312" w:eastAsia="仿宋_GB2312"/>
          <w:sz w:val="20"/>
          <w:shd w:fill="FFFFFF" w:val="clear"/>
        </w:rPr>
        <w:t>）最新相关行业标准及规范。</w:t>
      </w:r>
    </w:p>
    <w:p>
      <w:pPr>
        <w:pStyle w:val="null3"/>
        <w:ind w:firstLine="480"/>
        <w:jc w:val="left"/>
      </w:pPr>
      <w:r>
        <w:rPr>
          <w:rFonts w:ascii="仿宋_GB2312" w:hAnsi="仿宋_GB2312" w:cs="仿宋_GB2312" w:eastAsia="仿宋_GB2312"/>
          <w:sz w:val="20"/>
          <w:b/>
        </w:rPr>
        <w:t>（五）</w:t>
      </w:r>
      <w:r>
        <w:rPr>
          <w:rFonts w:ascii="仿宋_GB2312" w:hAnsi="仿宋_GB2312" w:cs="仿宋_GB2312" w:eastAsia="仿宋_GB2312"/>
          <w:sz w:val="20"/>
          <w:b/>
        </w:rPr>
        <w:t>主要技术</w:t>
      </w:r>
      <w:r>
        <w:rPr>
          <w:rFonts w:ascii="仿宋_GB2312" w:hAnsi="仿宋_GB2312" w:cs="仿宋_GB2312" w:eastAsia="仿宋_GB2312"/>
          <w:sz w:val="20"/>
          <w:b/>
        </w:rPr>
        <w:t>指标（最低要求）</w:t>
      </w:r>
    </w:p>
    <w:p>
      <w:pPr>
        <w:pStyle w:val="null3"/>
        <w:numPr>
          <w:ilvl w:val="0"/>
          <w:numId w:val="1"/>
        </w:numPr>
        <w:jc w:val="center"/>
      </w:pPr>
      <w:r>
        <w:rPr>
          <w:rFonts w:ascii="仿宋_GB2312" w:hAnsi="仿宋_GB2312" w:cs="仿宋_GB2312" w:eastAsia="仿宋_GB2312"/>
          <w:sz w:val="20"/>
        </w:rPr>
        <w:t>一类固定监测站技术指标</w:t>
      </w:r>
    </w:p>
    <w:tbl>
      <w:tblPr>
        <w:tblW w:w="0" w:type="auto"/>
        <w:tblInd w:type="dxa" w:w="540"/>
        <w:tblBorders>
          <w:top w:val="none" w:color="000000" w:sz="4"/>
          <w:left w:val="none" w:color="000000" w:sz="4"/>
          <w:bottom w:val="none" w:color="000000" w:sz="4"/>
          <w:right w:val="none" w:color="000000" w:sz="4"/>
          <w:insideH w:val="none"/>
          <w:insideV w:val="none"/>
        </w:tblBorders>
      </w:tblPr>
      <w:tblGrid>
        <w:gridCol w:w="3560"/>
        <w:gridCol w:w="4746"/>
      </w:tblGrid>
      <w:tr>
        <w:tc>
          <w:tcPr>
            <w:tcW w:type="dxa" w:w="356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指标名称</w:t>
            </w:r>
          </w:p>
        </w:tc>
        <w:tc>
          <w:tcPr>
            <w:tcW w:type="dxa" w:w="47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b/>
                <w:color w:val="000000"/>
              </w:rPr>
              <w:t>指标要求</w:t>
            </w:r>
          </w:p>
        </w:tc>
      </w:tr>
      <w:tr>
        <w:tc>
          <w:tcPr>
            <w:tcW w:type="dxa" w:w="3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监测频率范围</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20</w:t>
            </w:r>
            <w:r>
              <w:rPr>
                <w:rFonts w:ascii="仿宋_GB2312" w:hAnsi="仿宋_GB2312" w:cs="仿宋_GB2312" w:eastAsia="仿宋_GB2312"/>
                <w:sz w:val="16"/>
              </w:rPr>
              <w:t>～</w:t>
            </w:r>
            <w:r>
              <w:rPr>
                <w:rFonts w:ascii="仿宋_GB2312" w:hAnsi="仿宋_GB2312" w:cs="仿宋_GB2312" w:eastAsia="仿宋_GB2312"/>
                <w:sz w:val="16"/>
              </w:rPr>
              <w:t>6</w:t>
            </w:r>
            <w:r>
              <w:rPr>
                <w:rFonts w:ascii="仿宋_GB2312" w:hAnsi="仿宋_GB2312" w:cs="仿宋_GB2312" w:eastAsia="仿宋_GB2312"/>
                <w:sz w:val="16"/>
              </w:rPr>
              <w:t>000MHz</w:t>
            </w:r>
          </w:p>
        </w:tc>
      </w:tr>
      <w:tr>
        <w:tc>
          <w:tcPr>
            <w:tcW w:type="dxa" w:w="3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测向频率范围</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3</w:t>
            </w:r>
            <w:r>
              <w:rPr>
                <w:rFonts w:ascii="仿宋_GB2312" w:hAnsi="仿宋_GB2312" w:cs="仿宋_GB2312" w:eastAsia="仿宋_GB2312"/>
                <w:sz w:val="16"/>
              </w:rPr>
              <w:t>0MHz</w:t>
            </w:r>
            <w:r>
              <w:rPr>
                <w:rFonts w:ascii="仿宋_GB2312" w:hAnsi="仿宋_GB2312" w:cs="仿宋_GB2312" w:eastAsia="仿宋_GB2312"/>
                <w:sz w:val="16"/>
              </w:rPr>
              <w:t>～</w:t>
            </w:r>
            <w:r>
              <w:rPr>
                <w:rFonts w:ascii="仿宋_GB2312" w:hAnsi="仿宋_GB2312" w:cs="仿宋_GB2312" w:eastAsia="仿宋_GB2312"/>
                <w:sz w:val="16"/>
              </w:rPr>
              <w:t>6</w:t>
            </w:r>
            <w:r>
              <w:rPr>
                <w:rFonts w:ascii="仿宋_GB2312" w:hAnsi="仿宋_GB2312" w:cs="仿宋_GB2312" w:eastAsia="仿宋_GB2312"/>
                <w:sz w:val="16"/>
              </w:rPr>
              <w:t>000MHz(</w:t>
            </w:r>
            <w:r>
              <w:rPr>
                <w:rFonts w:ascii="仿宋_GB2312" w:hAnsi="仿宋_GB2312" w:cs="仿宋_GB2312" w:eastAsia="仿宋_GB2312"/>
                <w:sz w:val="16"/>
              </w:rPr>
              <w:t>垂直极化</w:t>
            </w:r>
            <w:r>
              <w:rPr>
                <w:rFonts w:ascii="仿宋_GB2312" w:hAnsi="仿宋_GB2312" w:cs="仿宋_GB2312" w:eastAsia="仿宋_GB2312"/>
                <w:sz w:val="16"/>
              </w:rPr>
              <w:t>)</w:t>
            </w:r>
          </w:p>
          <w:p>
            <w:pPr>
              <w:pStyle w:val="null3"/>
              <w:ind w:firstLine="480"/>
              <w:jc w:val="both"/>
            </w:pPr>
            <w:r>
              <w:rPr>
                <w:rFonts w:ascii="仿宋_GB2312" w:hAnsi="仿宋_GB2312" w:cs="仿宋_GB2312" w:eastAsia="仿宋_GB2312"/>
                <w:sz w:val="16"/>
              </w:rPr>
              <w:t>40MHz</w:t>
            </w:r>
            <w:r>
              <w:rPr>
                <w:rFonts w:ascii="仿宋_GB2312" w:hAnsi="仿宋_GB2312" w:cs="仿宋_GB2312" w:eastAsia="仿宋_GB2312"/>
                <w:sz w:val="16"/>
              </w:rPr>
              <w:t>～</w:t>
            </w:r>
            <w:r>
              <w:rPr>
                <w:rFonts w:ascii="仿宋_GB2312" w:hAnsi="仿宋_GB2312" w:cs="仿宋_GB2312" w:eastAsia="仿宋_GB2312"/>
                <w:sz w:val="16"/>
              </w:rPr>
              <w:t>1300MHz(</w:t>
            </w:r>
            <w:r>
              <w:rPr>
                <w:rFonts w:ascii="仿宋_GB2312" w:hAnsi="仿宋_GB2312" w:cs="仿宋_GB2312" w:eastAsia="仿宋_GB2312"/>
                <w:sz w:val="16"/>
              </w:rPr>
              <w:t>水平极化</w:t>
            </w:r>
            <w:r>
              <w:rPr>
                <w:rFonts w:ascii="仿宋_GB2312" w:hAnsi="仿宋_GB2312" w:cs="仿宋_GB2312" w:eastAsia="仿宋_GB2312"/>
                <w:sz w:val="16"/>
              </w:rPr>
              <w:t>)</w:t>
            </w:r>
          </w:p>
        </w:tc>
      </w:tr>
      <w:tr>
        <w:tc>
          <w:tcPr>
            <w:tcW w:type="dxa" w:w="3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频率稳定度（</w:t>
            </w:r>
            <w:r>
              <w:rPr>
                <w:rFonts w:ascii="仿宋_GB2312" w:hAnsi="仿宋_GB2312" w:cs="仿宋_GB2312" w:eastAsia="仿宋_GB2312"/>
                <w:sz w:val="16"/>
              </w:rPr>
              <w:t>0</w:t>
            </w:r>
            <w:r>
              <w:rPr>
                <w:rFonts w:ascii="仿宋_GB2312" w:hAnsi="仿宋_GB2312" w:cs="仿宋_GB2312" w:eastAsia="仿宋_GB2312"/>
                <w:sz w:val="16"/>
              </w:rPr>
              <w:t>℃～</w:t>
            </w:r>
            <w:r>
              <w:rPr>
                <w:rFonts w:ascii="仿宋_GB2312" w:hAnsi="仿宋_GB2312" w:cs="仿宋_GB2312" w:eastAsia="仿宋_GB2312"/>
                <w:sz w:val="16"/>
              </w:rPr>
              <w:t>45</w:t>
            </w:r>
            <w:r>
              <w:rPr>
                <w:rFonts w:ascii="仿宋_GB2312" w:hAnsi="仿宋_GB2312" w:cs="仿宋_GB2312" w:eastAsia="仿宋_GB2312"/>
                <w:sz w:val="16"/>
              </w:rPr>
              <w:t>℃）</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1</w:t>
            </w:r>
            <w:r>
              <w:rPr>
                <w:rFonts w:ascii="仿宋_GB2312" w:hAnsi="仿宋_GB2312" w:cs="仿宋_GB2312" w:eastAsia="仿宋_GB2312"/>
                <w:sz w:val="16"/>
              </w:rPr>
              <w:t>×</w:t>
            </w:r>
            <w:r>
              <w:rPr>
                <w:rFonts w:ascii="仿宋_GB2312" w:hAnsi="仿宋_GB2312" w:cs="仿宋_GB2312" w:eastAsia="仿宋_GB2312"/>
                <w:sz w:val="16"/>
              </w:rPr>
              <w:t>10</w:t>
            </w:r>
            <w:r>
              <w:rPr>
                <w:rFonts w:ascii="仿宋_GB2312" w:hAnsi="仿宋_GB2312" w:cs="仿宋_GB2312" w:eastAsia="仿宋_GB2312"/>
                <w:sz w:val="16"/>
                <w:vertAlign w:val="superscript"/>
              </w:rPr>
              <w:t>-7</w:t>
            </w:r>
          </w:p>
        </w:tc>
      </w:tr>
      <w:tr>
        <w:tc>
          <w:tcPr>
            <w:tcW w:type="dxa" w:w="3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相位噪声（</w:t>
            </w:r>
            <w:r>
              <w:rPr>
                <w:rFonts w:ascii="仿宋_GB2312" w:hAnsi="仿宋_GB2312" w:cs="仿宋_GB2312" w:eastAsia="仿宋_GB2312"/>
                <w:sz w:val="16"/>
              </w:rPr>
              <w:t>fc=1GHz</w:t>
            </w:r>
            <w:r>
              <w:rPr>
                <w:rFonts w:ascii="仿宋_GB2312" w:hAnsi="仿宋_GB2312" w:cs="仿宋_GB2312" w:eastAsia="仿宋_GB2312"/>
                <w:sz w:val="16"/>
              </w:rPr>
              <w:t>）</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-120dBc/Hz@10KHz</w:t>
            </w:r>
          </w:p>
        </w:tc>
      </w:tr>
      <w:tr>
        <w:tc>
          <w:tcPr>
            <w:tcW w:type="dxa" w:w="3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实时中频带宽</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8</w:t>
            </w:r>
            <w:r>
              <w:rPr>
                <w:rFonts w:ascii="仿宋_GB2312" w:hAnsi="仿宋_GB2312" w:cs="仿宋_GB2312" w:eastAsia="仿宋_GB2312"/>
                <w:sz w:val="16"/>
              </w:rPr>
              <w:t>0MHz</w:t>
            </w:r>
          </w:p>
        </w:tc>
      </w:tr>
      <w:tr>
        <w:tc>
          <w:tcPr>
            <w:tcW w:type="dxa" w:w="3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噪声系数（实时带宽</w:t>
            </w:r>
            <w:r>
              <w:rPr>
                <w:rFonts w:ascii="仿宋_GB2312" w:hAnsi="仿宋_GB2312" w:cs="仿宋_GB2312" w:eastAsia="仿宋_GB2312"/>
                <w:sz w:val="16"/>
              </w:rPr>
              <w:t>20MHz</w:t>
            </w:r>
            <w:r>
              <w:rPr>
                <w:rFonts w:ascii="仿宋_GB2312" w:hAnsi="仿宋_GB2312" w:cs="仿宋_GB2312" w:eastAsia="仿宋_GB2312"/>
                <w:sz w:val="16"/>
              </w:rPr>
              <w:t>）</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12dB</w:t>
            </w:r>
            <w:r>
              <w:rPr>
                <w:rFonts w:ascii="仿宋_GB2312" w:hAnsi="仿宋_GB2312" w:cs="仿宋_GB2312" w:eastAsia="仿宋_GB2312"/>
                <w:sz w:val="16"/>
              </w:rPr>
              <w:t>（</w:t>
            </w:r>
            <w:r>
              <w:rPr>
                <w:rFonts w:ascii="仿宋_GB2312" w:hAnsi="仿宋_GB2312" w:cs="仿宋_GB2312" w:eastAsia="仿宋_GB2312"/>
                <w:sz w:val="16"/>
              </w:rPr>
              <w:t>20</w:t>
            </w:r>
            <w:r>
              <w:rPr>
                <w:rFonts w:ascii="仿宋_GB2312" w:hAnsi="仿宋_GB2312" w:cs="仿宋_GB2312" w:eastAsia="仿宋_GB2312"/>
                <w:sz w:val="16"/>
              </w:rPr>
              <w:t>～</w:t>
            </w:r>
            <w:r>
              <w:rPr>
                <w:rFonts w:ascii="仿宋_GB2312" w:hAnsi="仿宋_GB2312" w:cs="仿宋_GB2312" w:eastAsia="仿宋_GB2312"/>
                <w:sz w:val="16"/>
              </w:rPr>
              <w:t>3000MHz</w:t>
            </w:r>
            <w:r>
              <w:rPr>
                <w:rFonts w:ascii="仿宋_GB2312" w:hAnsi="仿宋_GB2312" w:cs="仿宋_GB2312" w:eastAsia="仿宋_GB2312"/>
                <w:sz w:val="16"/>
              </w:rPr>
              <w:t>）；</w:t>
            </w:r>
          </w:p>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15dB</w:t>
            </w:r>
            <w:r>
              <w:rPr>
                <w:rFonts w:ascii="仿宋_GB2312" w:hAnsi="仿宋_GB2312" w:cs="仿宋_GB2312" w:eastAsia="仿宋_GB2312"/>
                <w:sz w:val="16"/>
              </w:rPr>
              <w:t>（</w:t>
            </w:r>
            <w:r>
              <w:rPr>
                <w:rFonts w:ascii="仿宋_GB2312" w:hAnsi="仿宋_GB2312" w:cs="仿宋_GB2312" w:eastAsia="仿宋_GB2312"/>
                <w:sz w:val="16"/>
              </w:rPr>
              <w:t>3</w:t>
            </w:r>
            <w:r>
              <w:rPr>
                <w:rFonts w:ascii="仿宋_GB2312" w:hAnsi="仿宋_GB2312" w:cs="仿宋_GB2312" w:eastAsia="仿宋_GB2312"/>
                <w:sz w:val="16"/>
              </w:rPr>
              <w:t>～</w:t>
            </w:r>
            <w:r>
              <w:rPr>
                <w:rFonts w:ascii="仿宋_GB2312" w:hAnsi="仿宋_GB2312" w:cs="仿宋_GB2312" w:eastAsia="仿宋_GB2312"/>
                <w:sz w:val="16"/>
              </w:rPr>
              <w:t>6</w:t>
            </w:r>
            <w:r>
              <w:rPr>
                <w:rFonts w:ascii="仿宋_GB2312" w:hAnsi="仿宋_GB2312" w:cs="仿宋_GB2312" w:eastAsia="仿宋_GB2312"/>
                <w:sz w:val="16"/>
              </w:rPr>
              <w:t>GHz</w:t>
            </w:r>
            <w:r>
              <w:rPr>
                <w:rFonts w:ascii="仿宋_GB2312" w:hAnsi="仿宋_GB2312" w:cs="仿宋_GB2312" w:eastAsia="仿宋_GB2312"/>
                <w:sz w:val="16"/>
              </w:rPr>
              <w:t>）；</w:t>
            </w:r>
          </w:p>
        </w:tc>
      </w:tr>
      <w:tr>
        <w:tc>
          <w:tcPr>
            <w:tcW w:type="dxa" w:w="3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监测灵敏度</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10dB</w:t>
            </w:r>
            <w:r>
              <w:rPr>
                <w:rFonts w:ascii="仿宋_GB2312" w:hAnsi="仿宋_GB2312" w:cs="仿宋_GB2312" w:eastAsia="仿宋_GB2312"/>
                <w:sz w:val="16"/>
              </w:rPr>
              <w:t>μ</w:t>
            </w:r>
            <w:r>
              <w:rPr>
                <w:rFonts w:ascii="仿宋_GB2312" w:hAnsi="仿宋_GB2312" w:cs="仿宋_GB2312" w:eastAsia="仿宋_GB2312"/>
                <w:sz w:val="16"/>
              </w:rPr>
              <w:t>V/m</w:t>
            </w:r>
            <w:r>
              <w:rPr>
                <w:rFonts w:ascii="仿宋_GB2312" w:hAnsi="仿宋_GB2312" w:cs="仿宋_GB2312" w:eastAsia="仿宋_GB2312"/>
                <w:sz w:val="16"/>
              </w:rPr>
              <w:t>（</w:t>
            </w:r>
            <w:r>
              <w:rPr>
                <w:rFonts w:ascii="仿宋_GB2312" w:hAnsi="仿宋_GB2312" w:cs="仿宋_GB2312" w:eastAsia="仿宋_GB2312"/>
                <w:sz w:val="16"/>
              </w:rPr>
              <w:t>20</w:t>
            </w:r>
            <w:r>
              <w:rPr>
                <w:rFonts w:ascii="仿宋_GB2312" w:hAnsi="仿宋_GB2312" w:cs="仿宋_GB2312" w:eastAsia="仿宋_GB2312"/>
                <w:sz w:val="16"/>
              </w:rPr>
              <w:t>～</w:t>
            </w:r>
            <w:r>
              <w:rPr>
                <w:rFonts w:ascii="仿宋_GB2312" w:hAnsi="仿宋_GB2312" w:cs="仿宋_GB2312" w:eastAsia="仿宋_GB2312"/>
                <w:sz w:val="16"/>
              </w:rPr>
              <w:t>3000MHz</w:t>
            </w:r>
            <w:r>
              <w:rPr>
                <w:rFonts w:ascii="仿宋_GB2312" w:hAnsi="仿宋_GB2312" w:cs="仿宋_GB2312" w:eastAsia="仿宋_GB2312"/>
                <w:sz w:val="16"/>
              </w:rPr>
              <w:t>）；</w:t>
            </w:r>
          </w:p>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15dB</w:t>
            </w:r>
            <w:r>
              <w:rPr>
                <w:rFonts w:ascii="仿宋_GB2312" w:hAnsi="仿宋_GB2312" w:cs="仿宋_GB2312" w:eastAsia="仿宋_GB2312"/>
                <w:sz w:val="16"/>
              </w:rPr>
              <w:t>μ</w:t>
            </w:r>
            <w:r>
              <w:rPr>
                <w:rFonts w:ascii="仿宋_GB2312" w:hAnsi="仿宋_GB2312" w:cs="仿宋_GB2312" w:eastAsia="仿宋_GB2312"/>
                <w:sz w:val="16"/>
              </w:rPr>
              <w:t>V/m</w:t>
            </w:r>
            <w:r>
              <w:rPr>
                <w:rFonts w:ascii="仿宋_GB2312" w:hAnsi="仿宋_GB2312" w:cs="仿宋_GB2312" w:eastAsia="仿宋_GB2312"/>
                <w:sz w:val="16"/>
              </w:rPr>
              <w:t>（</w:t>
            </w:r>
            <w:r>
              <w:rPr>
                <w:rFonts w:ascii="仿宋_GB2312" w:hAnsi="仿宋_GB2312" w:cs="仿宋_GB2312" w:eastAsia="仿宋_GB2312"/>
                <w:sz w:val="16"/>
              </w:rPr>
              <w:t>3</w:t>
            </w:r>
            <w:r>
              <w:rPr>
                <w:rFonts w:ascii="仿宋_GB2312" w:hAnsi="仿宋_GB2312" w:cs="仿宋_GB2312" w:eastAsia="仿宋_GB2312"/>
                <w:sz w:val="16"/>
              </w:rPr>
              <w:t>～</w:t>
            </w:r>
            <w:r>
              <w:rPr>
                <w:rFonts w:ascii="仿宋_GB2312" w:hAnsi="仿宋_GB2312" w:cs="仿宋_GB2312" w:eastAsia="仿宋_GB2312"/>
                <w:sz w:val="16"/>
              </w:rPr>
              <w:t>6</w:t>
            </w:r>
            <w:r>
              <w:rPr>
                <w:rFonts w:ascii="仿宋_GB2312" w:hAnsi="仿宋_GB2312" w:cs="仿宋_GB2312" w:eastAsia="仿宋_GB2312"/>
                <w:sz w:val="16"/>
              </w:rPr>
              <w:t>GHz</w:t>
            </w:r>
            <w:r>
              <w:rPr>
                <w:rFonts w:ascii="仿宋_GB2312" w:hAnsi="仿宋_GB2312" w:cs="仿宋_GB2312" w:eastAsia="仿宋_GB2312"/>
                <w:sz w:val="16"/>
              </w:rPr>
              <w:t>）</w:t>
            </w:r>
          </w:p>
        </w:tc>
      </w:tr>
      <w:tr>
        <w:tc>
          <w:tcPr>
            <w:tcW w:type="dxa" w:w="3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测向灵敏度</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15dB</w:t>
            </w:r>
            <w:r>
              <w:rPr>
                <w:rFonts w:ascii="仿宋_GB2312" w:hAnsi="仿宋_GB2312" w:cs="仿宋_GB2312" w:eastAsia="仿宋_GB2312"/>
                <w:sz w:val="16"/>
              </w:rPr>
              <w:t>μ</w:t>
            </w:r>
            <w:r>
              <w:rPr>
                <w:rFonts w:ascii="仿宋_GB2312" w:hAnsi="仿宋_GB2312" w:cs="仿宋_GB2312" w:eastAsia="仿宋_GB2312"/>
                <w:sz w:val="16"/>
              </w:rPr>
              <w:t>V/m</w:t>
            </w:r>
            <w:r>
              <w:rPr>
                <w:rFonts w:ascii="仿宋_GB2312" w:hAnsi="仿宋_GB2312" w:cs="仿宋_GB2312" w:eastAsia="仿宋_GB2312"/>
                <w:sz w:val="16"/>
              </w:rPr>
              <w:t>（</w:t>
            </w:r>
            <w:r>
              <w:rPr>
                <w:rFonts w:ascii="仿宋_GB2312" w:hAnsi="仿宋_GB2312" w:cs="仿宋_GB2312" w:eastAsia="仿宋_GB2312"/>
                <w:sz w:val="16"/>
              </w:rPr>
              <w:t>3</w:t>
            </w:r>
            <w:r>
              <w:rPr>
                <w:rFonts w:ascii="仿宋_GB2312" w:hAnsi="仿宋_GB2312" w:cs="仿宋_GB2312" w:eastAsia="仿宋_GB2312"/>
                <w:sz w:val="16"/>
              </w:rPr>
              <w:t>0</w:t>
            </w:r>
            <w:r>
              <w:rPr>
                <w:rFonts w:ascii="仿宋_GB2312" w:hAnsi="仿宋_GB2312" w:cs="仿宋_GB2312" w:eastAsia="仿宋_GB2312"/>
                <w:sz w:val="16"/>
              </w:rPr>
              <w:t>～</w:t>
            </w:r>
            <w:r>
              <w:rPr>
                <w:rFonts w:ascii="仿宋_GB2312" w:hAnsi="仿宋_GB2312" w:cs="仿宋_GB2312" w:eastAsia="仿宋_GB2312"/>
                <w:sz w:val="16"/>
              </w:rPr>
              <w:t>3000MHz</w:t>
            </w:r>
            <w:r>
              <w:rPr>
                <w:rFonts w:ascii="仿宋_GB2312" w:hAnsi="仿宋_GB2312" w:cs="仿宋_GB2312" w:eastAsia="仿宋_GB2312"/>
                <w:sz w:val="16"/>
              </w:rPr>
              <w:t>）</w:t>
            </w:r>
            <w:r>
              <w:rPr>
                <w:rFonts w:ascii="仿宋_GB2312" w:hAnsi="仿宋_GB2312" w:cs="仿宋_GB2312" w:eastAsia="仿宋_GB2312"/>
                <w:sz w:val="16"/>
              </w:rPr>
              <w:t>;</w:t>
            </w:r>
          </w:p>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20dB</w:t>
            </w:r>
            <w:r>
              <w:rPr>
                <w:rFonts w:ascii="仿宋_GB2312" w:hAnsi="仿宋_GB2312" w:cs="仿宋_GB2312" w:eastAsia="仿宋_GB2312"/>
                <w:sz w:val="16"/>
              </w:rPr>
              <w:t>μ</w:t>
            </w:r>
            <w:r>
              <w:rPr>
                <w:rFonts w:ascii="仿宋_GB2312" w:hAnsi="仿宋_GB2312" w:cs="仿宋_GB2312" w:eastAsia="仿宋_GB2312"/>
                <w:sz w:val="16"/>
              </w:rPr>
              <w:t>V/m</w:t>
            </w:r>
            <w:r>
              <w:rPr>
                <w:rFonts w:ascii="仿宋_GB2312" w:hAnsi="仿宋_GB2312" w:cs="仿宋_GB2312" w:eastAsia="仿宋_GB2312"/>
                <w:sz w:val="16"/>
              </w:rPr>
              <w:t>（</w:t>
            </w:r>
            <w:r>
              <w:rPr>
                <w:rFonts w:ascii="仿宋_GB2312" w:hAnsi="仿宋_GB2312" w:cs="仿宋_GB2312" w:eastAsia="仿宋_GB2312"/>
                <w:sz w:val="16"/>
              </w:rPr>
              <w:t>3</w:t>
            </w:r>
            <w:r>
              <w:rPr>
                <w:rFonts w:ascii="仿宋_GB2312" w:hAnsi="仿宋_GB2312" w:cs="仿宋_GB2312" w:eastAsia="仿宋_GB2312"/>
                <w:sz w:val="16"/>
              </w:rPr>
              <w:t>～</w:t>
            </w:r>
            <w:r>
              <w:rPr>
                <w:rFonts w:ascii="仿宋_GB2312" w:hAnsi="仿宋_GB2312" w:cs="仿宋_GB2312" w:eastAsia="仿宋_GB2312"/>
                <w:sz w:val="16"/>
              </w:rPr>
              <w:t>6</w:t>
            </w:r>
            <w:r>
              <w:rPr>
                <w:rFonts w:ascii="仿宋_GB2312" w:hAnsi="仿宋_GB2312" w:cs="仿宋_GB2312" w:eastAsia="仿宋_GB2312"/>
                <w:sz w:val="16"/>
              </w:rPr>
              <w:t>GHz</w:t>
            </w:r>
            <w:r>
              <w:rPr>
                <w:rFonts w:ascii="仿宋_GB2312" w:hAnsi="仿宋_GB2312" w:cs="仿宋_GB2312" w:eastAsia="仿宋_GB2312"/>
                <w:sz w:val="16"/>
              </w:rPr>
              <w:t>）</w:t>
            </w:r>
          </w:p>
        </w:tc>
      </w:tr>
      <w:tr>
        <w:tc>
          <w:tcPr>
            <w:tcW w:type="dxa" w:w="3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测向准确度</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1</w:t>
            </w:r>
            <w:r>
              <w:rPr>
                <w:rFonts w:ascii="仿宋_GB2312" w:hAnsi="仿宋_GB2312" w:cs="仿宋_GB2312" w:eastAsia="仿宋_GB2312"/>
                <w:sz w:val="16"/>
              </w:rPr>
              <w:t>°（</w:t>
            </w:r>
            <w:r>
              <w:rPr>
                <w:rFonts w:ascii="仿宋_GB2312" w:hAnsi="仿宋_GB2312" w:cs="仿宋_GB2312" w:eastAsia="仿宋_GB2312"/>
                <w:sz w:val="16"/>
              </w:rPr>
              <w:t>3</w:t>
            </w:r>
            <w:r>
              <w:rPr>
                <w:rFonts w:ascii="仿宋_GB2312" w:hAnsi="仿宋_GB2312" w:cs="仿宋_GB2312" w:eastAsia="仿宋_GB2312"/>
                <w:sz w:val="16"/>
              </w:rPr>
              <w:t>0</w:t>
            </w:r>
            <w:r>
              <w:rPr>
                <w:rFonts w:ascii="仿宋_GB2312" w:hAnsi="仿宋_GB2312" w:cs="仿宋_GB2312" w:eastAsia="仿宋_GB2312"/>
                <w:sz w:val="16"/>
              </w:rPr>
              <w:t>～</w:t>
            </w:r>
            <w:r>
              <w:rPr>
                <w:rFonts w:ascii="仿宋_GB2312" w:hAnsi="仿宋_GB2312" w:cs="仿宋_GB2312" w:eastAsia="仿宋_GB2312"/>
                <w:sz w:val="16"/>
              </w:rPr>
              <w:t>3000MHz</w:t>
            </w:r>
            <w:r>
              <w:rPr>
                <w:rFonts w:ascii="仿宋_GB2312" w:hAnsi="仿宋_GB2312" w:cs="仿宋_GB2312" w:eastAsia="仿宋_GB2312"/>
                <w:sz w:val="16"/>
              </w:rPr>
              <w:t>，</w:t>
            </w:r>
            <w:r>
              <w:rPr>
                <w:rFonts w:ascii="仿宋_GB2312" w:hAnsi="仿宋_GB2312" w:cs="仿宋_GB2312" w:eastAsia="仿宋_GB2312"/>
                <w:sz w:val="16"/>
              </w:rPr>
              <w:t>R.M.S</w:t>
            </w:r>
            <w:r>
              <w:rPr>
                <w:rFonts w:ascii="仿宋_GB2312" w:hAnsi="仿宋_GB2312" w:cs="仿宋_GB2312" w:eastAsia="仿宋_GB2312"/>
                <w:sz w:val="16"/>
              </w:rPr>
              <w:t>，无反射环境）</w:t>
            </w:r>
            <w:r>
              <w:rPr>
                <w:rFonts w:ascii="仿宋_GB2312" w:hAnsi="仿宋_GB2312" w:cs="仿宋_GB2312" w:eastAsia="仿宋_GB2312"/>
                <w:sz w:val="16"/>
              </w:rPr>
              <w:t>;</w:t>
            </w:r>
          </w:p>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1.5</w:t>
            </w:r>
            <w:r>
              <w:rPr>
                <w:rFonts w:ascii="仿宋_GB2312" w:hAnsi="仿宋_GB2312" w:cs="仿宋_GB2312" w:eastAsia="仿宋_GB2312"/>
                <w:sz w:val="16"/>
              </w:rPr>
              <w:t>°（</w:t>
            </w:r>
            <w:r>
              <w:rPr>
                <w:rFonts w:ascii="仿宋_GB2312" w:hAnsi="仿宋_GB2312" w:cs="仿宋_GB2312" w:eastAsia="仿宋_GB2312"/>
                <w:sz w:val="16"/>
              </w:rPr>
              <w:t>3</w:t>
            </w:r>
            <w:r>
              <w:rPr>
                <w:rFonts w:ascii="仿宋_GB2312" w:hAnsi="仿宋_GB2312" w:cs="仿宋_GB2312" w:eastAsia="仿宋_GB2312"/>
                <w:sz w:val="16"/>
              </w:rPr>
              <w:t>～</w:t>
            </w:r>
            <w:r>
              <w:rPr>
                <w:rFonts w:ascii="仿宋_GB2312" w:hAnsi="仿宋_GB2312" w:cs="仿宋_GB2312" w:eastAsia="仿宋_GB2312"/>
                <w:sz w:val="16"/>
              </w:rPr>
              <w:t>6</w:t>
            </w:r>
            <w:r>
              <w:rPr>
                <w:rFonts w:ascii="仿宋_GB2312" w:hAnsi="仿宋_GB2312" w:cs="仿宋_GB2312" w:eastAsia="仿宋_GB2312"/>
                <w:sz w:val="16"/>
              </w:rPr>
              <w:t>GHz</w:t>
            </w:r>
            <w:r>
              <w:rPr>
                <w:rFonts w:ascii="仿宋_GB2312" w:hAnsi="仿宋_GB2312" w:cs="仿宋_GB2312" w:eastAsia="仿宋_GB2312"/>
                <w:sz w:val="16"/>
              </w:rPr>
              <w:t>，</w:t>
            </w:r>
            <w:r>
              <w:rPr>
                <w:rFonts w:ascii="仿宋_GB2312" w:hAnsi="仿宋_GB2312" w:cs="仿宋_GB2312" w:eastAsia="仿宋_GB2312"/>
                <w:sz w:val="16"/>
              </w:rPr>
              <w:t>R.M.S</w:t>
            </w:r>
            <w:r>
              <w:rPr>
                <w:rFonts w:ascii="仿宋_GB2312" w:hAnsi="仿宋_GB2312" w:cs="仿宋_GB2312" w:eastAsia="仿宋_GB2312"/>
                <w:sz w:val="16"/>
              </w:rPr>
              <w:t>，无反射环境）</w:t>
            </w:r>
          </w:p>
        </w:tc>
      </w:tr>
      <w:tr>
        <w:tc>
          <w:tcPr>
            <w:tcW w:type="dxa" w:w="3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测向时效</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1</w:t>
            </w:r>
            <w:r>
              <w:rPr>
                <w:rFonts w:ascii="仿宋_GB2312" w:hAnsi="仿宋_GB2312" w:cs="仿宋_GB2312" w:eastAsia="仿宋_GB2312"/>
                <w:sz w:val="16"/>
              </w:rPr>
              <w:t>ms</w:t>
            </w:r>
            <w:r>
              <w:rPr>
                <w:rFonts w:ascii="仿宋_GB2312" w:hAnsi="仿宋_GB2312" w:cs="仿宋_GB2312" w:eastAsia="仿宋_GB2312"/>
                <w:sz w:val="16"/>
              </w:rPr>
              <w:t>（单次突发信号）</w:t>
            </w:r>
          </w:p>
        </w:tc>
      </w:tr>
      <w:tr>
        <w:tc>
          <w:tcPr>
            <w:tcW w:type="dxa" w:w="3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同频信号分离个数</w:t>
            </w:r>
          </w:p>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D/</w:t>
            </w:r>
            <w:r>
              <w:rPr>
                <w:rFonts w:ascii="仿宋_GB2312" w:hAnsi="仿宋_GB2312" w:cs="仿宋_GB2312" w:eastAsia="仿宋_GB2312"/>
                <w:sz w:val="16"/>
              </w:rPr>
              <w:t>λ</w:t>
            </w:r>
            <w:r>
              <w:rPr>
                <w:rFonts w:ascii="仿宋_GB2312" w:hAnsi="仿宋_GB2312" w:cs="仿宋_GB2312" w:eastAsia="仿宋_GB2312"/>
                <w:sz w:val="16"/>
              </w:rPr>
              <w:t>&gt;1</w:t>
            </w:r>
            <w:r>
              <w:rPr>
                <w:rFonts w:ascii="仿宋_GB2312" w:hAnsi="仿宋_GB2312" w:cs="仿宋_GB2312" w:eastAsia="仿宋_GB2312"/>
                <w:sz w:val="16"/>
              </w:rPr>
              <w:t>）</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5</w:t>
            </w:r>
          </w:p>
        </w:tc>
      </w:tr>
      <w:tr>
        <w:tc>
          <w:tcPr>
            <w:tcW w:type="dxa" w:w="3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最小同频信号分辨角度（</w:t>
            </w:r>
            <w:r>
              <w:rPr>
                <w:rFonts w:ascii="仿宋_GB2312" w:hAnsi="仿宋_GB2312" w:cs="仿宋_GB2312" w:eastAsia="仿宋_GB2312"/>
                <w:sz w:val="16"/>
              </w:rPr>
              <w:t>D/</w:t>
            </w:r>
            <w:r>
              <w:rPr>
                <w:rFonts w:ascii="仿宋_GB2312" w:hAnsi="仿宋_GB2312" w:cs="仿宋_GB2312" w:eastAsia="仿宋_GB2312"/>
                <w:sz w:val="16"/>
              </w:rPr>
              <w:t>λ</w:t>
            </w:r>
            <w:r>
              <w:rPr>
                <w:rFonts w:ascii="仿宋_GB2312" w:hAnsi="仿宋_GB2312" w:cs="仿宋_GB2312" w:eastAsia="仿宋_GB2312"/>
                <w:sz w:val="16"/>
              </w:rPr>
              <w:t>&gt;1</w:t>
            </w:r>
            <w:r>
              <w:rPr>
                <w:rFonts w:ascii="仿宋_GB2312" w:hAnsi="仿宋_GB2312" w:cs="仿宋_GB2312" w:eastAsia="仿宋_GB2312"/>
                <w:sz w:val="16"/>
              </w:rPr>
              <w:t>）</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20</w:t>
            </w:r>
            <w:r>
              <w:rPr>
                <w:rFonts w:ascii="仿宋_GB2312" w:hAnsi="仿宋_GB2312" w:cs="仿宋_GB2312" w:eastAsia="仿宋_GB2312"/>
                <w:sz w:val="16"/>
              </w:rPr>
              <w:t>°</w:t>
            </w:r>
          </w:p>
        </w:tc>
      </w:tr>
      <w:tr>
        <w:tc>
          <w:tcPr>
            <w:tcW w:type="dxa" w:w="3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扫描速度（</w:t>
            </w:r>
            <w:r>
              <w:rPr>
                <w:rFonts w:ascii="仿宋_GB2312" w:hAnsi="仿宋_GB2312" w:cs="仿宋_GB2312" w:eastAsia="仿宋_GB2312"/>
                <w:sz w:val="16"/>
              </w:rPr>
              <w:t>25kHz</w:t>
            </w:r>
            <w:r>
              <w:rPr>
                <w:rFonts w:ascii="仿宋_GB2312" w:hAnsi="仿宋_GB2312" w:cs="仿宋_GB2312" w:eastAsia="仿宋_GB2312"/>
                <w:sz w:val="16"/>
              </w:rPr>
              <w:t>步进）</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1</w:t>
            </w:r>
            <w:r>
              <w:rPr>
                <w:rFonts w:ascii="仿宋_GB2312" w:hAnsi="仿宋_GB2312" w:cs="仿宋_GB2312" w:eastAsia="仿宋_GB2312"/>
                <w:sz w:val="16"/>
              </w:rPr>
              <w:t>00GHz/s</w:t>
            </w:r>
          </w:p>
        </w:tc>
      </w:tr>
      <w:tr>
        <w:tc>
          <w:tcPr>
            <w:tcW w:type="dxa" w:w="3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二阶截断点（低失真模式；中频带宽</w:t>
            </w:r>
            <w:r>
              <w:rPr>
                <w:rFonts w:ascii="仿宋_GB2312" w:hAnsi="仿宋_GB2312" w:cs="仿宋_GB2312" w:eastAsia="仿宋_GB2312"/>
                <w:sz w:val="16"/>
              </w:rPr>
              <w:t>20MHz</w:t>
            </w:r>
            <w:r>
              <w:rPr>
                <w:rFonts w:ascii="仿宋_GB2312" w:hAnsi="仿宋_GB2312" w:cs="仿宋_GB2312" w:eastAsia="仿宋_GB2312"/>
                <w:sz w:val="16"/>
              </w:rPr>
              <w:t>）</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60dBm</w:t>
            </w:r>
          </w:p>
        </w:tc>
      </w:tr>
      <w:tr>
        <w:tc>
          <w:tcPr>
            <w:tcW w:type="dxa" w:w="3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三阶截断点（低失真模式；中频带宽</w:t>
            </w:r>
            <w:r>
              <w:rPr>
                <w:rFonts w:ascii="仿宋_GB2312" w:hAnsi="仿宋_GB2312" w:cs="仿宋_GB2312" w:eastAsia="仿宋_GB2312"/>
                <w:sz w:val="16"/>
              </w:rPr>
              <w:t>20MHz</w:t>
            </w:r>
            <w:r>
              <w:rPr>
                <w:rFonts w:ascii="仿宋_GB2312" w:hAnsi="仿宋_GB2312" w:cs="仿宋_GB2312" w:eastAsia="仿宋_GB2312"/>
                <w:sz w:val="16"/>
              </w:rPr>
              <w:t>）</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20dBm</w:t>
            </w:r>
          </w:p>
        </w:tc>
      </w:tr>
      <w:tr>
        <w:tc>
          <w:tcPr>
            <w:tcW w:type="dxa" w:w="3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中频</w:t>
            </w:r>
            <w:r>
              <w:rPr>
                <w:rFonts w:ascii="仿宋_GB2312" w:hAnsi="仿宋_GB2312" w:cs="仿宋_GB2312" w:eastAsia="仿宋_GB2312"/>
                <w:sz w:val="16"/>
              </w:rPr>
              <w:t>/</w:t>
            </w:r>
            <w:r>
              <w:rPr>
                <w:rFonts w:ascii="仿宋_GB2312" w:hAnsi="仿宋_GB2312" w:cs="仿宋_GB2312" w:eastAsia="仿宋_GB2312"/>
                <w:sz w:val="16"/>
              </w:rPr>
              <w:t>镜像抑制</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w:t>
            </w:r>
            <w:r>
              <w:rPr>
                <w:rFonts w:ascii="仿宋_GB2312" w:hAnsi="仿宋_GB2312" w:cs="仿宋_GB2312" w:eastAsia="仿宋_GB2312"/>
                <w:sz w:val="16"/>
              </w:rPr>
              <w:t>90dB</w:t>
            </w:r>
          </w:p>
        </w:tc>
      </w:tr>
      <w:tr>
        <w:tc>
          <w:tcPr>
            <w:tcW w:type="dxa" w:w="3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调制测量能力</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16"/>
              </w:rPr>
              <w:t>AM</w:t>
            </w:r>
            <w:r>
              <w:rPr>
                <w:rFonts w:ascii="仿宋_GB2312" w:hAnsi="仿宋_GB2312" w:cs="仿宋_GB2312" w:eastAsia="仿宋_GB2312"/>
                <w:sz w:val="16"/>
              </w:rPr>
              <w:t>、</w:t>
            </w:r>
            <w:r>
              <w:rPr>
                <w:rFonts w:ascii="仿宋_GB2312" w:hAnsi="仿宋_GB2312" w:cs="仿宋_GB2312" w:eastAsia="仿宋_GB2312"/>
                <w:sz w:val="16"/>
              </w:rPr>
              <w:t>FM</w:t>
            </w:r>
            <w:r>
              <w:rPr>
                <w:rFonts w:ascii="仿宋_GB2312" w:hAnsi="仿宋_GB2312" w:cs="仿宋_GB2312" w:eastAsia="仿宋_GB2312"/>
                <w:sz w:val="16"/>
              </w:rPr>
              <w:t>、</w:t>
            </w:r>
            <w:r>
              <w:rPr>
                <w:rFonts w:ascii="仿宋_GB2312" w:hAnsi="仿宋_GB2312" w:cs="仿宋_GB2312" w:eastAsia="仿宋_GB2312"/>
                <w:sz w:val="16"/>
              </w:rPr>
              <w:t>CW</w:t>
            </w:r>
            <w:r>
              <w:rPr>
                <w:rFonts w:ascii="仿宋_GB2312" w:hAnsi="仿宋_GB2312" w:cs="仿宋_GB2312" w:eastAsia="仿宋_GB2312"/>
                <w:sz w:val="16"/>
              </w:rPr>
              <w:t>、</w:t>
            </w:r>
            <w:r>
              <w:rPr>
                <w:rFonts w:ascii="仿宋_GB2312" w:hAnsi="仿宋_GB2312" w:cs="仿宋_GB2312" w:eastAsia="仿宋_GB2312"/>
                <w:sz w:val="16"/>
              </w:rPr>
              <w:t>ASK</w:t>
            </w:r>
            <w:r>
              <w:rPr>
                <w:rFonts w:ascii="仿宋_GB2312" w:hAnsi="仿宋_GB2312" w:cs="仿宋_GB2312" w:eastAsia="仿宋_GB2312"/>
                <w:sz w:val="16"/>
              </w:rPr>
              <w:t>、</w:t>
            </w:r>
            <w:r>
              <w:rPr>
                <w:rFonts w:ascii="仿宋_GB2312" w:hAnsi="仿宋_GB2312" w:cs="仿宋_GB2312" w:eastAsia="仿宋_GB2312"/>
                <w:sz w:val="16"/>
              </w:rPr>
              <w:t>PSK</w:t>
            </w:r>
            <w:r>
              <w:rPr>
                <w:rFonts w:ascii="仿宋_GB2312" w:hAnsi="仿宋_GB2312" w:cs="仿宋_GB2312" w:eastAsia="仿宋_GB2312"/>
                <w:sz w:val="16"/>
              </w:rPr>
              <w:t>、</w:t>
            </w:r>
            <w:r>
              <w:rPr>
                <w:rFonts w:ascii="仿宋_GB2312" w:hAnsi="仿宋_GB2312" w:cs="仿宋_GB2312" w:eastAsia="仿宋_GB2312"/>
                <w:sz w:val="16"/>
              </w:rPr>
              <w:t>DPSK</w:t>
            </w:r>
            <w:r>
              <w:rPr>
                <w:rFonts w:ascii="仿宋_GB2312" w:hAnsi="仿宋_GB2312" w:cs="仿宋_GB2312" w:eastAsia="仿宋_GB2312"/>
                <w:sz w:val="16"/>
              </w:rPr>
              <w:t>、</w:t>
            </w:r>
            <w:r>
              <w:rPr>
                <w:rFonts w:ascii="仿宋_GB2312" w:hAnsi="仿宋_GB2312" w:cs="仿宋_GB2312" w:eastAsia="仿宋_GB2312"/>
                <w:sz w:val="16"/>
              </w:rPr>
              <w:t>QAM</w:t>
            </w:r>
            <w:r>
              <w:rPr>
                <w:rFonts w:ascii="仿宋_GB2312" w:hAnsi="仿宋_GB2312" w:cs="仿宋_GB2312" w:eastAsia="仿宋_GB2312"/>
                <w:sz w:val="16"/>
              </w:rPr>
              <w:t>、</w:t>
            </w:r>
            <w:r>
              <w:rPr>
                <w:rFonts w:ascii="仿宋_GB2312" w:hAnsi="仿宋_GB2312" w:cs="仿宋_GB2312" w:eastAsia="仿宋_GB2312"/>
                <w:sz w:val="16"/>
              </w:rPr>
              <w:t>FSK</w:t>
            </w:r>
            <w:r>
              <w:rPr>
                <w:rFonts w:ascii="仿宋_GB2312" w:hAnsi="仿宋_GB2312" w:cs="仿宋_GB2312" w:eastAsia="仿宋_GB2312"/>
                <w:sz w:val="16"/>
              </w:rPr>
              <w:t>、</w:t>
            </w:r>
            <w:r>
              <w:rPr>
                <w:rFonts w:ascii="仿宋_GB2312" w:hAnsi="仿宋_GB2312" w:cs="仿宋_GB2312" w:eastAsia="仿宋_GB2312"/>
                <w:sz w:val="16"/>
              </w:rPr>
              <w:t>MSK</w:t>
            </w:r>
            <w:r>
              <w:rPr>
                <w:rFonts w:ascii="仿宋_GB2312" w:hAnsi="仿宋_GB2312" w:cs="仿宋_GB2312" w:eastAsia="仿宋_GB2312"/>
                <w:sz w:val="16"/>
              </w:rPr>
              <w:t>等</w:t>
            </w:r>
          </w:p>
        </w:tc>
      </w:tr>
    </w:tbl>
    <w:p>
      <w:pPr>
        <w:pStyle w:val="null3"/>
        <w:ind w:firstLine="480"/>
        <w:jc w:val="left"/>
      </w:pPr>
      <w:r>
        <w:rPr>
          <w:rFonts w:ascii="仿宋_GB2312" w:hAnsi="仿宋_GB2312" w:cs="仿宋_GB2312" w:eastAsia="仿宋_GB2312"/>
          <w:sz w:val="20"/>
        </w:rPr>
        <w:t>注：</w:t>
      </w:r>
      <w:r>
        <w:rPr>
          <w:rFonts w:ascii="仿宋_GB2312" w:hAnsi="仿宋_GB2312" w:cs="仿宋_GB2312" w:eastAsia="仿宋_GB2312"/>
          <w:sz w:val="20"/>
        </w:rPr>
        <w:t>D</w:t>
      </w:r>
      <w:r>
        <w:rPr>
          <w:rFonts w:ascii="仿宋_GB2312" w:hAnsi="仿宋_GB2312" w:cs="仿宋_GB2312" w:eastAsia="仿宋_GB2312"/>
          <w:sz w:val="20"/>
        </w:rPr>
        <w:t>为天线孔径，λ为信号频率对应的波长。</w:t>
      </w:r>
    </w:p>
    <w:p>
      <w:pPr>
        <w:pStyle w:val="null3"/>
        <w:ind w:firstLine="480"/>
        <w:jc w:val="left"/>
      </w:pPr>
      <w:r>
        <w:rPr>
          <w:rFonts w:ascii="仿宋_GB2312" w:hAnsi="仿宋_GB2312" w:cs="仿宋_GB2312" w:eastAsia="仿宋_GB2312"/>
          <w:sz w:val="20"/>
          <w:b/>
        </w:rPr>
        <w:t>（</w:t>
      </w:r>
      <w:r>
        <w:rPr>
          <w:rFonts w:ascii="仿宋_GB2312" w:hAnsi="仿宋_GB2312" w:cs="仿宋_GB2312" w:eastAsia="仿宋_GB2312"/>
          <w:sz w:val="20"/>
          <w:b/>
        </w:rPr>
        <w:t>六</w:t>
      </w:r>
      <w:r>
        <w:rPr>
          <w:rFonts w:ascii="仿宋_GB2312" w:hAnsi="仿宋_GB2312" w:cs="仿宋_GB2312" w:eastAsia="仿宋_GB2312"/>
          <w:sz w:val="20"/>
          <w:b/>
        </w:rPr>
        <w:t>）</w:t>
      </w:r>
      <w:r>
        <w:rPr>
          <w:rFonts w:ascii="仿宋_GB2312" w:hAnsi="仿宋_GB2312" w:cs="仿宋_GB2312" w:eastAsia="仿宋_GB2312"/>
          <w:sz w:val="20"/>
          <w:b/>
          <w:shd w:fill="FFFFFF" w:val="clear"/>
        </w:rPr>
        <w:t>设备配置清单</w:t>
      </w:r>
    </w:p>
    <w:p>
      <w:pPr>
        <w:pStyle w:val="null3"/>
        <w:ind w:firstLine="420"/>
        <w:jc w:val="left"/>
      </w:pPr>
      <w:r>
        <w:rPr>
          <w:rFonts w:ascii="仿宋_GB2312" w:hAnsi="仿宋_GB2312" w:cs="仿宋_GB2312" w:eastAsia="仿宋_GB2312"/>
          <w:sz w:val="20"/>
          <w:b/>
          <w:shd w:fill="FFFFFF" w:val="clear"/>
        </w:rPr>
        <w:t>（1）一</w:t>
      </w:r>
      <w:r>
        <w:rPr>
          <w:rFonts w:ascii="仿宋_GB2312" w:hAnsi="仿宋_GB2312" w:cs="仿宋_GB2312" w:eastAsia="仿宋_GB2312"/>
          <w:sz w:val="20"/>
          <w:b/>
          <w:shd w:fill="FFFFFF" w:val="clear"/>
        </w:rPr>
        <w:t>类固定监测站配置明细（最低配置要求）</w:t>
      </w:r>
    </w:p>
    <w:tbl>
      <w:tblPr>
        <w:tblW w:w="0" w:type="auto"/>
        <w:tblBorders>
          <w:top w:val="single"/>
          <w:left w:val="single"/>
          <w:bottom w:val="single"/>
          <w:right w:val="single"/>
          <w:insideH w:val="single"/>
          <w:insideV w:val="single"/>
        </w:tblBorders>
      </w:tblPr>
      <w:tblGrid>
        <w:gridCol w:w="702"/>
        <w:gridCol w:w="1652"/>
        <w:gridCol w:w="4445"/>
        <w:gridCol w:w="804"/>
        <w:gridCol w:w="702"/>
      </w:tblGrid>
      <w:tr>
        <w:tc>
          <w:tcPr>
            <w:tcW w:type="dxa" w:w="70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16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内容</w:t>
            </w:r>
          </w:p>
        </w:tc>
        <w:tc>
          <w:tcPr>
            <w:tcW w:type="dxa" w:w="44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规格程式</w:t>
            </w:r>
            <w:r>
              <w:rPr>
                <w:rFonts w:ascii="仿宋_GB2312" w:hAnsi="仿宋_GB2312" w:cs="仿宋_GB2312" w:eastAsia="仿宋_GB2312"/>
                <w:sz w:val="20"/>
              </w:rPr>
              <w:t>及要求</w:t>
            </w:r>
          </w:p>
        </w:tc>
        <w:tc>
          <w:tcPr>
            <w:tcW w:type="dxa" w:w="8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数量（套）</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备注</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天馈系统</w:t>
            </w:r>
          </w:p>
        </w:tc>
        <w:tc>
          <w:tcPr>
            <w:tcW w:type="dxa" w:w="4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监测</w:t>
            </w:r>
            <w:r>
              <w:rPr>
                <w:rFonts w:ascii="仿宋_GB2312" w:hAnsi="仿宋_GB2312" w:cs="仿宋_GB2312" w:eastAsia="仿宋_GB2312"/>
                <w:sz w:val="20"/>
              </w:rPr>
              <w:t>频率范围</w:t>
            </w:r>
            <w:r>
              <w:rPr>
                <w:rFonts w:ascii="仿宋_GB2312" w:hAnsi="仿宋_GB2312" w:cs="仿宋_GB2312" w:eastAsia="仿宋_GB2312"/>
                <w:sz w:val="20"/>
              </w:rPr>
              <w:t>：</w:t>
            </w:r>
            <w:r>
              <w:rPr>
                <w:rFonts w:ascii="仿宋_GB2312" w:hAnsi="仿宋_GB2312" w:cs="仿宋_GB2312" w:eastAsia="仿宋_GB2312"/>
                <w:sz w:val="20"/>
              </w:rPr>
              <w:t>20MHz</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GHz</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测向</w:t>
            </w:r>
            <w:r>
              <w:rPr>
                <w:rFonts w:ascii="仿宋_GB2312" w:hAnsi="仿宋_GB2312" w:cs="仿宋_GB2312" w:eastAsia="仿宋_GB2312"/>
                <w:sz w:val="20"/>
              </w:rPr>
              <w:t>频率范围</w:t>
            </w:r>
            <w:r>
              <w:rPr>
                <w:rFonts w:ascii="仿宋_GB2312" w:hAnsi="仿宋_GB2312" w:cs="仿宋_GB2312" w:eastAsia="仿宋_GB2312"/>
                <w:sz w:val="20"/>
              </w:rPr>
              <w:t>：</w:t>
            </w:r>
            <w:r>
              <w:rPr>
                <w:rFonts w:ascii="仿宋_GB2312" w:hAnsi="仿宋_GB2312" w:cs="仿宋_GB2312" w:eastAsia="仿宋_GB2312"/>
                <w:sz w:val="20"/>
              </w:rPr>
              <w:t>30MHz</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GHz</w:t>
            </w:r>
            <w:r>
              <w:rPr>
                <w:rFonts w:ascii="仿宋_GB2312" w:hAnsi="仿宋_GB2312" w:cs="仿宋_GB2312" w:eastAsia="仿宋_GB2312"/>
                <w:sz w:val="20"/>
              </w:rPr>
              <w:t>（垂直极化）；</w:t>
            </w:r>
          </w:p>
          <w:p>
            <w:pPr>
              <w:pStyle w:val="null3"/>
              <w:jc w:val="left"/>
            </w:pPr>
            <w:r>
              <w:rPr>
                <w:rFonts w:ascii="仿宋_GB2312" w:hAnsi="仿宋_GB2312" w:cs="仿宋_GB2312" w:eastAsia="仿宋_GB2312"/>
                <w:sz w:val="20"/>
              </w:rPr>
              <w:t>40MHz</w:t>
            </w:r>
            <w:r>
              <w:rPr>
                <w:rFonts w:ascii="仿宋_GB2312" w:hAnsi="仿宋_GB2312" w:cs="仿宋_GB2312" w:eastAsia="仿宋_GB2312"/>
                <w:sz w:val="20"/>
              </w:rPr>
              <w:t>～</w:t>
            </w:r>
            <w:r>
              <w:rPr>
                <w:rFonts w:ascii="仿宋_GB2312" w:hAnsi="仿宋_GB2312" w:cs="仿宋_GB2312" w:eastAsia="仿宋_GB2312"/>
                <w:sz w:val="20"/>
              </w:rPr>
              <w:t>1.3GHz</w:t>
            </w:r>
            <w:r>
              <w:rPr>
                <w:rFonts w:ascii="仿宋_GB2312" w:hAnsi="仿宋_GB2312" w:cs="仿宋_GB2312" w:eastAsia="仿宋_GB2312"/>
                <w:sz w:val="20"/>
              </w:rPr>
              <w:t>（水平极化）；</w:t>
            </w:r>
          </w:p>
          <w:p>
            <w:pPr>
              <w:pStyle w:val="null3"/>
              <w:jc w:val="left"/>
            </w:pPr>
            <w:r>
              <w:rPr>
                <w:rFonts w:ascii="仿宋_GB2312" w:hAnsi="仿宋_GB2312" w:cs="仿宋_GB2312" w:eastAsia="仿宋_GB2312"/>
                <w:sz w:val="20"/>
              </w:rPr>
              <w:t>室外铁塔建设（改造或新建）；</w:t>
            </w:r>
          </w:p>
          <w:p>
            <w:pPr>
              <w:pStyle w:val="null3"/>
              <w:jc w:val="left"/>
            </w:pPr>
            <w:r>
              <w:rPr>
                <w:rFonts w:ascii="仿宋_GB2312" w:hAnsi="仿宋_GB2312" w:cs="仿宋_GB2312" w:eastAsia="仿宋_GB2312"/>
                <w:sz w:val="20"/>
              </w:rPr>
              <w:t>防雷系统符合固定监测站建设规范。</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监测接收机</w:t>
            </w:r>
          </w:p>
        </w:tc>
        <w:tc>
          <w:tcPr>
            <w:tcW w:type="dxa" w:w="4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利旧，升级现有站点ESMD监测接收机（升级后指标符合一类固定站要求），频率范围：</w:t>
            </w:r>
            <w:r>
              <w:rPr>
                <w:rFonts w:ascii="仿宋_GB2312" w:hAnsi="仿宋_GB2312" w:cs="仿宋_GB2312" w:eastAsia="仿宋_GB2312"/>
                <w:sz w:val="20"/>
              </w:rPr>
              <w:t>20MHz</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GHz</w:t>
            </w:r>
            <w:r>
              <w:rPr>
                <w:rFonts w:ascii="仿宋_GB2312" w:hAnsi="仿宋_GB2312" w:cs="仿宋_GB2312" w:eastAsia="仿宋_GB2312"/>
                <w:sz w:val="20"/>
              </w:rPr>
              <w:t>。</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◆测向接收机</w:t>
            </w:r>
          </w:p>
        </w:tc>
        <w:tc>
          <w:tcPr>
            <w:tcW w:type="dxa" w:w="4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频率范围：</w:t>
            </w:r>
            <w:r>
              <w:rPr>
                <w:rFonts w:ascii="仿宋_GB2312" w:hAnsi="仿宋_GB2312" w:cs="仿宋_GB2312" w:eastAsia="仿宋_GB2312"/>
                <w:sz w:val="20"/>
              </w:rPr>
              <w:t>30MHz</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GHz</w:t>
            </w:r>
            <w:r>
              <w:rPr>
                <w:rFonts w:ascii="仿宋_GB2312" w:hAnsi="仿宋_GB2312" w:cs="仿宋_GB2312" w:eastAsia="仿宋_GB2312"/>
                <w:sz w:val="20"/>
              </w:rPr>
              <w:t>。</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专用信号解调解码设备</w:t>
            </w:r>
          </w:p>
        </w:tc>
        <w:tc>
          <w:tcPr>
            <w:tcW w:type="dxa" w:w="4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公众移动及不明基站监测；电视监测及其信号解调；数字对讲机解调。</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新型数传信号监管设备</w:t>
            </w:r>
          </w:p>
        </w:tc>
        <w:tc>
          <w:tcPr>
            <w:tcW w:type="dxa" w:w="4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实时定频收发双通道，</w:t>
            </w:r>
            <w:r>
              <w:rPr>
                <w:rFonts w:ascii="仿宋_GB2312" w:hAnsi="仿宋_GB2312" w:cs="仿宋_GB2312" w:eastAsia="仿宋_GB2312"/>
                <w:sz w:val="20"/>
              </w:rPr>
              <w:t>能够实现对</w:t>
            </w:r>
            <w:r>
              <w:rPr>
                <w:rFonts w:ascii="仿宋_GB2312" w:hAnsi="仿宋_GB2312" w:cs="仿宋_GB2312" w:eastAsia="仿宋_GB2312"/>
                <w:sz w:val="20"/>
              </w:rPr>
              <w:t>信号的解析</w:t>
            </w:r>
            <w:r>
              <w:rPr>
                <w:rFonts w:ascii="仿宋_GB2312" w:hAnsi="仿宋_GB2312" w:cs="仿宋_GB2312" w:eastAsia="仿宋_GB2312"/>
                <w:sz w:val="20"/>
              </w:rPr>
              <w:t>和压制</w:t>
            </w:r>
            <w:r>
              <w:rPr>
                <w:rFonts w:ascii="仿宋_GB2312" w:hAnsi="仿宋_GB2312" w:cs="仿宋_GB2312" w:eastAsia="仿宋_GB2312"/>
                <w:sz w:val="20"/>
              </w:rPr>
              <w:t>。</w:t>
            </w:r>
            <w:r>
              <w:rPr>
                <w:rFonts w:ascii="仿宋_GB2312" w:hAnsi="仿宋_GB2312" w:cs="仿宋_GB2312" w:eastAsia="仿宋_GB2312"/>
                <w:sz w:val="20"/>
              </w:rPr>
              <w:t>扫描通道频率范围：30MHz～8GHz，压制通道频率范围：100MHz-1.5GHz。</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校准信号源</w:t>
            </w:r>
          </w:p>
        </w:tc>
        <w:tc>
          <w:tcPr>
            <w:tcW w:type="dxa" w:w="4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支持常见各类</w:t>
            </w:r>
            <w:r>
              <w:rPr>
                <w:rFonts w:ascii="仿宋_GB2312" w:hAnsi="仿宋_GB2312" w:cs="仿宋_GB2312" w:eastAsia="仿宋_GB2312"/>
                <w:sz w:val="20"/>
              </w:rPr>
              <w:t>信号</w:t>
            </w:r>
            <w:r>
              <w:rPr>
                <w:rFonts w:ascii="仿宋_GB2312" w:hAnsi="仿宋_GB2312" w:cs="仿宋_GB2312" w:eastAsia="仿宋_GB2312"/>
                <w:sz w:val="20"/>
              </w:rPr>
              <w:t>的发射功能</w:t>
            </w:r>
            <w:r>
              <w:rPr>
                <w:rFonts w:ascii="仿宋_GB2312" w:hAnsi="仿宋_GB2312" w:cs="仿宋_GB2312" w:eastAsia="仿宋_GB2312"/>
                <w:sz w:val="20"/>
              </w:rPr>
              <w:t>。频率范围：70MHz-6GHz</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UPS</w:t>
            </w:r>
            <w:r>
              <w:rPr>
                <w:rFonts w:ascii="仿宋_GB2312" w:hAnsi="仿宋_GB2312" w:cs="仿宋_GB2312" w:eastAsia="仿宋_GB2312"/>
                <w:sz w:val="20"/>
              </w:rPr>
              <w:t>（含电池组）</w:t>
            </w:r>
          </w:p>
        </w:tc>
        <w:tc>
          <w:tcPr>
            <w:tcW w:type="dxa" w:w="4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断电后维持系统正常工作不低于</w:t>
            </w:r>
            <w:r>
              <w:rPr>
                <w:rFonts w:ascii="仿宋_GB2312" w:hAnsi="仿宋_GB2312" w:cs="仿宋_GB2312" w:eastAsia="仿宋_GB2312"/>
                <w:sz w:val="20"/>
              </w:rPr>
              <w:t>8</w:t>
            </w:r>
            <w:r>
              <w:rPr>
                <w:rFonts w:ascii="仿宋_GB2312" w:hAnsi="仿宋_GB2312" w:cs="仿宋_GB2312" w:eastAsia="仿宋_GB2312"/>
                <w:sz w:val="20"/>
              </w:rPr>
              <w:t>小时。</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网络平台</w:t>
            </w:r>
          </w:p>
        </w:tc>
        <w:tc>
          <w:tcPr>
            <w:tcW w:type="dxa" w:w="4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传输速度：</w:t>
            </w:r>
            <w:r>
              <w:rPr>
                <w:rFonts w:ascii="仿宋_GB2312" w:hAnsi="仿宋_GB2312" w:cs="仿宋_GB2312" w:eastAsia="仿宋_GB2312"/>
                <w:sz w:val="20"/>
              </w:rPr>
              <w:t>10Mbps/100Mbps/1000Mbps</w:t>
            </w:r>
            <w:r>
              <w:rPr>
                <w:rFonts w:ascii="仿宋_GB2312" w:hAnsi="仿宋_GB2312" w:cs="仿宋_GB2312" w:eastAsia="仿宋_GB2312"/>
                <w:sz w:val="20"/>
              </w:rPr>
              <w:t>。</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集成附件</w:t>
            </w:r>
          </w:p>
        </w:tc>
        <w:tc>
          <w:tcPr>
            <w:tcW w:type="dxa" w:w="4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包括控制线缆、馈线避雷器、安装支架、一体化</w:t>
            </w:r>
            <w:r>
              <w:rPr>
                <w:rFonts w:ascii="仿宋_GB2312" w:hAnsi="仿宋_GB2312" w:cs="仿宋_GB2312" w:eastAsia="仿宋_GB2312"/>
                <w:sz w:val="20"/>
              </w:rPr>
              <w:t>KVM</w:t>
            </w:r>
            <w:r>
              <w:rPr>
                <w:rFonts w:ascii="仿宋_GB2312" w:hAnsi="仿宋_GB2312" w:cs="仿宋_GB2312" w:eastAsia="仿宋_GB2312"/>
                <w:sz w:val="20"/>
              </w:rPr>
              <w:t>等。</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数据处理</w:t>
            </w:r>
            <w:r>
              <w:rPr>
                <w:rFonts w:ascii="仿宋_GB2312" w:hAnsi="仿宋_GB2312" w:cs="仿宋_GB2312" w:eastAsia="仿宋_GB2312"/>
                <w:sz w:val="20"/>
              </w:rPr>
              <w:t>和控制</w:t>
            </w:r>
            <w:r>
              <w:rPr>
                <w:rFonts w:ascii="仿宋_GB2312" w:hAnsi="仿宋_GB2312" w:cs="仿宋_GB2312" w:eastAsia="仿宋_GB2312"/>
                <w:sz w:val="20"/>
              </w:rPr>
              <w:t>平台</w:t>
            </w:r>
          </w:p>
        </w:tc>
        <w:tc>
          <w:tcPr>
            <w:tcW w:type="dxa" w:w="4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作为软件原子服务转换和其他外设连接；</w:t>
            </w:r>
          </w:p>
          <w:p>
            <w:pPr>
              <w:pStyle w:val="null3"/>
              <w:jc w:val="left"/>
            </w:pPr>
            <w:r>
              <w:rPr>
                <w:rFonts w:ascii="仿宋_GB2312" w:hAnsi="仿宋_GB2312" w:cs="仿宋_GB2312" w:eastAsia="仿宋_GB2312"/>
                <w:sz w:val="20"/>
              </w:rPr>
              <w:t>不低于</w:t>
            </w:r>
            <w:r>
              <w:rPr>
                <w:rFonts w:ascii="仿宋_GB2312" w:hAnsi="仿宋_GB2312" w:cs="仿宋_GB2312" w:eastAsia="仿宋_GB2312"/>
                <w:sz w:val="20"/>
              </w:rPr>
              <w:t>8</w:t>
            </w:r>
            <w:r>
              <w:rPr>
                <w:rFonts w:ascii="仿宋_GB2312" w:hAnsi="仿宋_GB2312" w:cs="仿宋_GB2312" w:eastAsia="仿宋_GB2312"/>
                <w:sz w:val="20"/>
              </w:rPr>
              <w:t>核心</w:t>
            </w:r>
            <w:r>
              <w:rPr>
                <w:rFonts w:ascii="仿宋_GB2312" w:hAnsi="仿宋_GB2312" w:cs="仿宋_GB2312" w:eastAsia="仿宋_GB2312"/>
                <w:sz w:val="20"/>
              </w:rPr>
              <w:t>16</w:t>
            </w:r>
            <w:r>
              <w:rPr>
                <w:rFonts w:ascii="仿宋_GB2312" w:hAnsi="仿宋_GB2312" w:cs="仿宋_GB2312" w:eastAsia="仿宋_GB2312"/>
                <w:sz w:val="20"/>
              </w:rPr>
              <w:t>线程</w:t>
            </w:r>
            <w:r>
              <w:rPr>
                <w:rFonts w:ascii="仿宋_GB2312" w:hAnsi="仿宋_GB2312" w:cs="仿宋_GB2312" w:eastAsia="仿宋_GB2312"/>
                <w:sz w:val="20"/>
              </w:rPr>
              <w:t>2.4G</w:t>
            </w:r>
            <w:r>
              <w:rPr>
                <w:rFonts w:ascii="仿宋_GB2312" w:hAnsi="仿宋_GB2312" w:cs="仿宋_GB2312" w:eastAsia="仿宋_GB2312"/>
                <w:sz w:val="20"/>
              </w:rPr>
              <w:t>主频</w:t>
            </w:r>
            <w:r>
              <w:rPr>
                <w:rFonts w:ascii="仿宋_GB2312" w:hAnsi="仿宋_GB2312" w:cs="仿宋_GB2312" w:eastAsia="仿宋_GB2312"/>
                <w:sz w:val="20"/>
              </w:rPr>
              <w:t>14</w:t>
            </w:r>
            <w:r>
              <w:rPr>
                <w:rFonts w:ascii="仿宋_GB2312" w:hAnsi="仿宋_GB2312" w:cs="仿宋_GB2312" w:eastAsia="仿宋_GB2312"/>
                <w:sz w:val="20"/>
              </w:rPr>
              <w:t>纳米制作工艺，内存</w:t>
            </w:r>
            <w:r>
              <w:rPr>
                <w:rFonts w:ascii="仿宋_GB2312" w:hAnsi="仿宋_GB2312" w:cs="仿宋_GB2312" w:eastAsia="仿宋_GB2312"/>
                <w:sz w:val="20"/>
              </w:rPr>
              <w:t>24G/</w:t>
            </w:r>
            <w:r>
              <w:rPr>
                <w:rFonts w:ascii="仿宋_GB2312" w:hAnsi="仿宋_GB2312" w:cs="仿宋_GB2312" w:eastAsia="仿宋_GB2312"/>
                <w:sz w:val="20"/>
              </w:rPr>
              <w:t>硬盘</w:t>
            </w:r>
            <w:r>
              <w:rPr>
                <w:rFonts w:ascii="仿宋_GB2312" w:hAnsi="仿宋_GB2312" w:cs="仿宋_GB2312" w:eastAsia="仿宋_GB2312"/>
                <w:sz w:val="20"/>
              </w:rPr>
              <w:t>10</w:t>
            </w:r>
            <w:r>
              <w:rPr>
                <w:rFonts w:ascii="仿宋_GB2312" w:hAnsi="仿宋_GB2312" w:cs="仿宋_GB2312" w:eastAsia="仿宋_GB2312"/>
                <w:sz w:val="20"/>
              </w:rPr>
              <w:t>TB</w:t>
            </w:r>
            <w:r>
              <w:rPr>
                <w:rFonts w:ascii="仿宋_GB2312" w:hAnsi="仿宋_GB2312" w:cs="仿宋_GB2312" w:eastAsia="仿宋_GB2312"/>
                <w:sz w:val="20"/>
              </w:rPr>
              <w:t>。</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9</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机房</w:t>
            </w:r>
            <w:r>
              <w:rPr>
                <w:rFonts w:ascii="仿宋_GB2312" w:hAnsi="仿宋_GB2312" w:cs="仿宋_GB2312" w:eastAsia="仿宋_GB2312"/>
                <w:sz w:val="20"/>
              </w:rPr>
              <w:t>/</w:t>
            </w:r>
            <w:r>
              <w:rPr>
                <w:rFonts w:ascii="仿宋_GB2312" w:hAnsi="仿宋_GB2312" w:cs="仿宋_GB2312" w:eastAsia="仿宋_GB2312"/>
                <w:sz w:val="20"/>
              </w:rPr>
              <w:t>机柜及附属设施</w:t>
            </w:r>
          </w:p>
        </w:tc>
        <w:tc>
          <w:tcPr>
            <w:tcW w:type="dxa" w:w="4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包含但不限于：接入动环设备（温湿度、</w:t>
            </w:r>
            <w:r>
              <w:rPr>
                <w:rFonts w:ascii="仿宋_GB2312" w:hAnsi="仿宋_GB2312" w:cs="仿宋_GB2312" w:eastAsia="仿宋_GB2312"/>
                <w:sz w:val="20"/>
              </w:rPr>
              <w:t>PDU</w:t>
            </w:r>
            <w:r>
              <w:rPr>
                <w:rFonts w:ascii="仿宋_GB2312" w:hAnsi="仿宋_GB2312" w:cs="仿宋_GB2312" w:eastAsia="仿宋_GB2312"/>
                <w:sz w:val="20"/>
              </w:rPr>
              <w:t>等），配套室内外机柜，网络、电源改造等确保固定监测在安全可靠运行的必要附属设施。</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44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left"/>
      </w:pPr>
      <w:r>
        <w:rPr>
          <w:rFonts w:ascii="仿宋_GB2312" w:hAnsi="仿宋_GB2312" w:cs="仿宋_GB2312" w:eastAsia="仿宋_GB2312"/>
          <w:sz w:val="20"/>
          <w:b/>
          <w:shd w:fill="FFFFFF" w:val="clear"/>
        </w:rPr>
        <w:t>各投标人分项报价</w:t>
      </w:r>
      <w:r>
        <w:rPr>
          <w:rFonts w:ascii="仿宋_GB2312" w:hAnsi="仿宋_GB2312" w:cs="仿宋_GB2312" w:eastAsia="仿宋_GB2312"/>
          <w:sz w:val="20"/>
          <w:b/>
          <w:shd w:fill="FFFFFF" w:val="clear"/>
        </w:rPr>
        <w:t>上表</w:t>
      </w:r>
      <w:r>
        <w:rPr>
          <w:rFonts w:ascii="仿宋_GB2312" w:hAnsi="仿宋_GB2312" w:cs="仿宋_GB2312" w:eastAsia="仿宋_GB2312"/>
          <w:sz w:val="20"/>
          <w:b/>
          <w:shd w:fill="FFFFFF" w:val="clear"/>
        </w:rPr>
        <w:t>所列配置清单为基础，其他诸如勘查、设计、铁塔或机房的改造（新建）、施工、检验、测试、交通、运输、验收等所有配套费用均包含在投标总价中并摊入设备清单，不得单列。本站点具有高山、高楼、高塔等地理要素，投标人应采取必要措施文明施工，确保施工安全。投标人施工期间出现的一切事故由投标人承担损失并赔偿。</w:t>
      </w:r>
    </w:p>
    <w:p>
      <w:pPr>
        <w:pStyle w:val="null3"/>
        <w:ind w:firstLine="420"/>
        <w:jc w:val="left"/>
      </w:pPr>
      <w:r>
        <w:rPr>
          <w:rFonts w:ascii="仿宋_GB2312" w:hAnsi="仿宋_GB2312" w:cs="仿宋_GB2312" w:eastAsia="仿宋_GB2312"/>
          <w:sz w:val="20"/>
          <w:b/>
          <w:color w:val="000000"/>
          <w:shd w:fill="FFFFFF" w:val="clear"/>
        </w:rPr>
        <w:t>（</w:t>
      </w:r>
      <w:r>
        <w:rPr>
          <w:rFonts w:ascii="仿宋_GB2312" w:hAnsi="仿宋_GB2312" w:cs="仿宋_GB2312" w:eastAsia="仿宋_GB2312"/>
          <w:sz w:val="20"/>
          <w:b/>
          <w:color w:val="000000"/>
          <w:shd w:fill="FFFFFF" w:val="clear"/>
        </w:rPr>
        <w:t>七</w:t>
      </w:r>
      <w:r>
        <w:rPr>
          <w:rFonts w:ascii="仿宋_GB2312" w:hAnsi="仿宋_GB2312" w:cs="仿宋_GB2312" w:eastAsia="仿宋_GB2312"/>
          <w:sz w:val="20"/>
          <w:b/>
          <w:color w:val="000000"/>
          <w:shd w:fill="FFFFFF" w:val="clear"/>
        </w:rPr>
        <w:t>）</w:t>
      </w:r>
      <w:r>
        <w:rPr>
          <w:rFonts w:ascii="仿宋_GB2312" w:hAnsi="仿宋_GB2312" w:cs="仿宋_GB2312" w:eastAsia="仿宋_GB2312"/>
          <w:sz w:val="20"/>
          <w:b/>
          <w:shd w:fill="FFFFFF" w:val="clear"/>
        </w:rPr>
        <w:t>其他要求</w:t>
      </w:r>
    </w:p>
    <w:p>
      <w:pPr>
        <w:pStyle w:val="null3"/>
        <w:ind w:firstLine="480"/>
        <w:jc w:val="left"/>
      </w:pPr>
      <w:r>
        <w:rPr>
          <w:rFonts w:ascii="仿宋_GB2312" w:hAnsi="仿宋_GB2312" w:cs="仿宋_GB2312" w:eastAsia="仿宋_GB2312"/>
          <w:sz w:val="20"/>
        </w:rPr>
        <w:t>1.</w:t>
      </w:r>
      <w:r>
        <w:rPr>
          <w:rFonts w:ascii="仿宋_GB2312" w:hAnsi="仿宋_GB2312" w:cs="仿宋_GB2312" w:eastAsia="仿宋_GB2312"/>
          <w:sz w:val="20"/>
        </w:rPr>
        <w:t>投标人提供的固定监测站升级改造应适配现部署于福建省以及厦门市无线电管理一体化平台的监测应用软件，具备原子化服务封装。其设计原则应</w:t>
      </w:r>
      <w:r>
        <w:rPr>
          <w:rFonts w:ascii="仿宋_GB2312" w:hAnsi="仿宋_GB2312" w:cs="仿宋_GB2312" w:eastAsia="仿宋_GB2312"/>
          <w:sz w:val="20"/>
          <w:color w:val="FF0000"/>
        </w:rPr>
        <w:t>:</w:t>
      </w:r>
      <w:r>
        <w:rPr>
          <w:rFonts w:ascii="仿宋_GB2312" w:hAnsi="仿宋_GB2312" w:cs="仿宋_GB2312" w:eastAsia="仿宋_GB2312"/>
          <w:sz w:val="20"/>
        </w:rPr>
        <w:t>（1）满足《超短波监测管理一体化平台技术规范第3部分：设备操作服务》的技术规定，实现技术规范规定的所有设备操作服务；（2）监测设备服务和接口设计应满足《超短波监测管理一体化平台技术规范 第2部分：服务设计》关于服务总结点编码规则和服务接口命名规则的</w:t>
      </w:r>
      <w:r>
        <w:rPr>
          <w:rFonts w:ascii="仿宋_GB2312" w:hAnsi="仿宋_GB2312" w:cs="仿宋_GB2312" w:eastAsia="仿宋_GB2312"/>
          <w:sz w:val="20"/>
          <w:color w:val="000000"/>
        </w:rPr>
        <w:t>技术规定;（3）监测设备服务改造应基于设备层级开发，即在设备原生驱动或协议基础上封装，而不能在上层应</w:t>
      </w:r>
      <w:r>
        <w:rPr>
          <w:rFonts w:ascii="仿宋_GB2312" w:hAnsi="仿宋_GB2312" w:cs="仿宋_GB2312" w:eastAsia="仿宋_GB2312"/>
          <w:sz w:val="20"/>
        </w:rPr>
        <w:t>用或其他协议层级封装； （4）设备原子化服务改造应通过第三方机构的评测（包含stream和FTP两种模式）。产品交付时须提供产品经具有CMA或CNAS资质的第三方检测机构出具的测试报告，测试报告上须带有CMA或CNAS标志。投标人需承诺选取的第三方测试验证机构应符合工业和信息化部《无线电监测设施测试验证工作规定（试行）》（工信部无〔2017〕283号）有关规定，并征得采购人书面认可。采购人有权委托具有CMA或CNAS资质的第三方检测机构对部分指标进行抽测，并以抽测结果是否合格作为是否进行验收的依据。测试验证、指标抽测等性能测试费用由投标人承担，含在投标总价中。</w:t>
      </w:r>
    </w:p>
    <w:p>
      <w:pPr>
        <w:pStyle w:val="null3"/>
        <w:ind w:firstLine="480"/>
        <w:jc w:val="left"/>
      </w:pPr>
      <w:r>
        <w:rPr>
          <w:rFonts w:ascii="仿宋_GB2312" w:hAnsi="仿宋_GB2312" w:cs="仿宋_GB2312" w:eastAsia="仿宋_GB2312"/>
          <w:sz w:val="20"/>
        </w:rPr>
        <w:t>2.</w:t>
      </w:r>
      <w:r>
        <w:rPr>
          <w:rFonts w:ascii="仿宋_GB2312" w:hAnsi="仿宋_GB2312" w:cs="仿宋_GB2312" w:eastAsia="仿宋_GB2312"/>
          <w:sz w:val="20"/>
        </w:rPr>
        <w:t>监测接收机的性能指标：</w:t>
      </w:r>
      <w:r>
        <w:rPr>
          <w:rFonts w:ascii="仿宋_GB2312" w:hAnsi="仿宋_GB2312" w:cs="仿宋_GB2312" w:eastAsia="仿宋_GB2312"/>
          <w:sz w:val="20"/>
          <w:color w:val="000000"/>
        </w:rPr>
        <w:t>投标人需承诺到货验收前需提供具有CMA或CNAS资质的第三方检测机构按GB/T32401-2015《VHF/UHF频段无线电监测接收机技术要求及测试方法》出具的正式检测报告，报告内容需包括需包括实际交付清</w:t>
      </w:r>
      <w:r>
        <w:rPr>
          <w:rFonts w:ascii="仿宋_GB2312" w:hAnsi="仿宋_GB2312" w:cs="仿宋_GB2312" w:eastAsia="仿宋_GB2312"/>
          <w:sz w:val="20"/>
        </w:rPr>
        <w:t>单（含设备序列号）所列接收机主要指标：包括但不限于监测灵敏度、解调灵敏度、电平测量误差、频率准确度（频率稳定度）、二阶截断点、三阶截断点、中频抑制、镜频抑制、扫描速度、杂散发射等指标的测试结果数据。检测报告上须带有CMA或CNAS标志。投标人选取的第三方测试验证机构应符合工业和信息化部《无线电监测设施测试验证工作规定（试行）》（工信部无〔2017〕283号）有关规定，并征得采购人书面认可。采购人在到货验收前有权委托具有CMA或CNAS资质的第三方检测机构对投标人提供的监测接收机部分指标进行抽测，并以抽测结果是否合格作为是否进行到货验收的依据。测试验证、指标抽测等性能测试费用由投标人承担，含在投标总价中。</w:t>
      </w:r>
    </w:p>
    <w:p>
      <w:pPr>
        <w:pStyle w:val="null3"/>
        <w:ind w:firstLine="480"/>
        <w:jc w:val="left"/>
      </w:pPr>
      <w:r>
        <w:rPr>
          <w:rFonts w:ascii="仿宋_GB2312" w:hAnsi="仿宋_GB2312" w:cs="仿宋_GB2312" w:eastAsia="仿宋_GB2312"/>
          <w:sz w:val="20"/>
        </w:rPr>
        <w:t>3.</w:t>
      </w:r>
      <w:r>
        <w:rPr>
          <w:rFonts w:ascii="仿宋_GB2312" w:hAnsi="仿宋_GB2312" w:cs="仿宋_GB2312" w:eastAsia="仿宋_GB2312"/>
          <w:sz w:val="20"/>
        </w:rPr>
        <w:t>监测测向系统性能测试：投标人需承诺在到货验收前委托具有CMA或CNAS资质的第三方检测机构按GB/T34089-2017《VHF/UHF无线电监测测向系统开场测试参数和测试方法》，采用符合标准规定的测试场地进行测试验证，对本项目交付清单（含设备序列号）中所升级的监测测向系统进行第三方测试并出具检测报告，测试验证项目至少包括监测灵敏度、场强测量精度（误差）、频率测量精度（频率准确度）、测向精度、瞬时信号监测能力、瞬时信号测向能力、天馈系统驻波比等指标。检测报告上须带有CMA或CNAS标志。投标人选取的第三方测试验证机构应符合工业和信息化部《无线电监测设施测试验证工作规定（试行）》（工信部无〔2017〕283号）有关规定，并征得采购人书面认可。相关费用含在投标总价中。采购人在到货验收前有权委托具有CMA或CNAS资质的第三方检测机构对部分指标进行抽测，并以抽测结果是否合格作为是否进行验收的依据。测试验证、指标抽测等性能测试费用由投标人承担，含在投标总价中。</w:t>
      </w:r>
    </w:p>
    <w:p>
      <w:pPr>
        <w:pStyle w:val="null3"/>
        <w:ind w:firstLine="480"/>
        <w:jc w:val="left"/>
      </w:pPr>
      <w:r>
        <w:rPr>
          <w:rFonts w:ascii="仿宋_GB2312" w:hAnsi="仿宋_GB2312" w:cs="仿宋_GB2312" w:eastAsia="仿宋_GB2312"/>
          <w:sz w:val="20"/>
        </w:rPr>
        <w:t>4.</w:t>
      </w:r>
      <w:r>
        <w:rPr>
          <w:rFonts w:ascii="仿宋_GB2312" w:hAnsi="仿宋_GB2312" w:cs="仿宋_GB2312" w:eastAsia="仿宋_GB2312"/>
          <w:sz w:val="20"/>
        </w:rPr>
        <w:t>现场测试：监测测向系统安装完毕后，初步验收前，投标人应委托有资质的第三方检测机构开展现场测试，测试指标包括但不限于天馈系统驻波比、监测灵敏度、电平测量误差、频率准确度等，测试结束后，需出具现场测试验证报告，</w:t>
      </w:r>
    </w:p>
    <w:p>
      <w:pPr>
        <w:pStyle w:val="null3"/>
        <w:ind w:firstLine="582"/>
        <w:jc w:val="left"/>
      </w:pPr>
      <w:r>
        <w:rPr>
          <w:rFonts w:ascii="仿宋_GB2312" w:hAnsi="仿宋_GB2312" w:cs="仿宋_GB2312" w:eastAsia="仿宋_GB2312"/>
          <w:sz w:val="21"/>
          <w:b/>
        </w:rPr>
        <w:t xml:space="preserve">★ </w:t>
      </w:r>
      <w:r>
        <w:rPr>
          <w:rFonts w:ascii="仿宋_GB2312" w:hAnsi="仿宋_GB2312" w:cs="仿宋_GB2312" w:eastAsia="仿宋_GB2312"/>
          <w:sz w:val="20"/>
          <w:b/>
        </w:rPr>
        <w:t>注：对招标文件“</w:t>
      </w:r>
      <w:r>
        <w:rPr>
          <w:rFonts w:ascii="仿宋_GB2312" w:hAnsi="仿宋_GB2312" w:cs="仿宋_GB2312" w:eastAsia="仿宋_GB2312"/>
          <w:sz w:val="20"/>
          <w:b/>
        </w:rPr>
        <w:t>第五章 招标内容及要求</w:t>
      </w:r>
      <w:r>
        <w:rPr>
          <w:rFonts w:ascii="仿宋_GB2312" w:hAnsi="仿宋_GB2312" w:cs="仿宋_GB2312" w:eastAsia="仿宋_GB2312"/>
          <w:sz w:val="20"/>
          <w:b/>
        </w:rPr>
        <w:t>”各项</w:t>
      </w:r>
      <w:r>
        <w:rPr>
          <w:rFonts w:ascii="仿宋_GB2312" w:hAnsi="仿宋_GB2312" w:cs="仿宋_GB2312" w:eastAsia="仿宋_GB2312"/>
          <w:sz w:val="20"/>
          <w:b/>
        </w:rPr>
        <w:t>要求，招标文件附件提供《项目承诺书</w:t>
      </w:r>
      <w:r>
        <w:rPr>
          <w:rFonts w:ascii="仿宋_GB2312" w:hAnsi="仿宋_GB2312" w:cs="仿宋_GB2312" w:eastAsia="仿宋_GB2312"/>
          <w:sz w:val="20"/>
          <w:b/>
        </w:rPr>
        <w:t>》，投标人应根据所投产品实际情况对</w:t>
      </w:r>
      <w:r>
        <w:rPr>
          <w:rFonts w:ascii="仿宋_GB2312" w:hAnsi="仿宋_GB2312" w:cs="仿宋_GB2312" w:eastAsia="仿宋_GB2312"/>
          <w:sz w:val="20"/>
          <w:b/>
        </w:rPr>
        <w:t>《项目承诺书</w:t>
      </w:r>
      <w:r>
        <w:rPr>
          <w:rFonts w:ascii="仿宋_GB2312" w:hAnsi="仿宋_GB2312" w:cs="仿宋_GB2312" w:eastAsia="仿宋_GB2312"/>
          <w:sz w:val="20"/>
          <w:b/>
        </w:rPr>
        <w:t>》</w:t>
      </w:r>
      <w:r>
        <w:rPr>
          <w:rFonts w:ascii="仿宋_GB2312" w:hAnsi="仿宋_GB2312" w:cs="仿宋_GB2312" w:eastAsia="仿宋_GB2312"/>
          <w:sz w:val="20"/>
          <w:b/>
        </w:rPr>
        <w:t>的内容提供明确承诺满足情况。未提供承诺、或承诺有缺漏项，以及不满足要求的，按投标无效处理。</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自合同签订之日起80个日历日内</w:t>
            </w:r>
          </w:p>
        </w:tc>
      </w:tr>
      <w:tr>
        <w:tc>
          <w:tcPr>
            <w:tcW w:type="dxa" w:w="2076"/>
          </w:tcPr>
          <w:p>
            <w:pPr>
              <w:pStyle w:val="null3"/>
              <w:jc w:val="both"/>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到货验收合格。</w:t>
            </w:r>
          </w:p>
        </w:tc>
      </w:tr>
      <w:tr>
        <w:tc>
          <w:tcPr>
            <w:tcW w:type="dxa" w:w="2076"/>
          </w:tcPr>
          <w:p>
            <w:pPr>
              <w:pStyle w:val="null3"/>
              <w:jc w:val="both"/>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1、期次1，说明：验收包括到货验收、初步验收（含合同验收）和竣工验收。详见“三、商务要求”中“10、验收方案”的内容及要求</w:t>
            </w:r>
          </w:p>
        </w:tc>
      </w:tr>
      <w:tr>
        <w:tc>
          <w:tcPr>
            <w:tcW w:type="dxa" w:w="2076"/>
          </w:tcPr>
          <w:p>
            <w:pPr>
              <w:pStyle w:val="null3"/>
              <w:jc w:val="both"/>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到货验收合格，双方签署到货验收报告且中标人开具本合同总金额100%的正式发票给采购人，本项目为财政支付项目，采购人须遵守财政支付规定，按照合同按期及时付款，达到付款条件起7日内，支付合同总金额的70.00%</w:t>
            </w:r>
          </w:p>
          <w:p>
            <w:pPr>
              <w:pStyle w:val="null3"/>
              <w:jc w:val="both"/>
            </w:pPr>
            <w:r>
              <w:rPr>
                <w:rFonts w:ascii="仿宋_GB2312" w:hAnsi="仿宋_GB2312" w:cs="仿宋_GB2312" w:eastAsia="仿宋_GB2312"/>
              </w:rPr>
              <w:t>2、初步验收（含合同验收）合格，双方签署初步验收报告后，本项目为财政支付项目，采购人须遵守财政支付规定，按照合同按期及时付款，达到付款条件起7日内，支付合同总金额的20.00%</w:t>
            </w:r>
          </w:p>
          <w:p>
            <w:pPr>
              <w:pStyle w:val="null3"/>
              <w:jc w:val="both"/>
            </w:pPr>
            <w:r>
              <w:rPr>
                <w:rFonts w:ascii="仿宋_GB2312" w:hAnsi="仿宋_GB2312" w:cs="仿宋_GB2312" w:eastAsia="仿宋_GB2312"/>
              </w:rPr>
              <w:t>3、初步验收合格后的10个工作日内，中标人向采购人提供合同金额10.00%的项目款银行保函（保函有效期不少于1年），采购人须遵守财政支付规定，按照合同按期及时付款，达到付款条件起15日内，支付合同总金额的10.00%</w:t>
            </w:r>
          </w:p>
        </w:tc>
      </w:tr>
      <w:tr>
        <w:tc>
          <w:tcPr>
            <w:tcW w:type="dxa" w:w="2076"/>
          </w:tcPr>
          <w:p>
            <w:pPr>
              <w:pStyle w:val="null3"/>
              <w:jc w:val="both"/>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本采购包履约保证金为合同金额的3%</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1.中标人在签订政府采购合同后五个工作日内，以银行保函的形式向采购人缴纳合同总金额的3.0%作为履约保证金；若中标人未按双方签订合同规定履约，则无权要求退回履约保证金。履约保证金不足以赔偿损失的，按实际损失赔偿。 履约保证金在中标人合同义务履行完毕时，无息退还。 2.中标人以银行保函等非现金形式提供履约保证金，履约担保的有效期应至少至中标人承诺的质保期结束。 若符合中小企业政策规定的可按相关规定执行。</w:t>
            </w:r>
          </w:p>
        </w:tc>
      </w:tr>
      <w:tr>
        <w:tc>
          <w:tcPr>
            <w:tcW w:type="dxa" w:w="2076"/>
          </w:tcPr>
          <w:p>
            <w:pPr>
              <w:pStyle w:val="null3"/>
              <w:jc w:val="both"/>
            </w:pPr>
            <w:r>
              <w:rPr>
                <w:rFonts w:ascii="仿宋_GB2312" w:hAnsi="仿宋_GB2312" w:cs="仿宋_GB2312" w:eastAsia="仿宋_GB2312"/>
              </w:rPr>
              <w:t>8</w:t>
            </w:r>
          </w:p>
        </w:tc>
        <w:tc>
          <w:tcPr>
            <w:tcW w:type="dxa" w:w="2076"/>
          </w:tcP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竣工验收合格。双方签署竣工验收报告起15日内，采购人向中标人归还10.00%的项目款银行保函。</w:t>
            </w:r>
          </w:p>
        </w:tc>
      </w:tr>
      <w:tr>
        <w:tc>
          <w:tcPr>
            <w:tcW w:type="dxa" w:w="2076"/>
          </w:tcPr>
          <w:p>
            <w:pPr>
              <w:pStyle w:val="null3"/>
              <w:jc w:val="both"/>
            </w:pPr>
            <w:r>
              <w:rPr>
                <w:rFonts w:ascii="仿宋_GB2312" w:hAnsi="仿宋_GB2312" w:cs="仿宋_GB2312" w:eastAsia="仿宋_GB2312"/>
              </w:rPr>
              <w:t>9</w:t>
            </w:r>
          </w:p>
        </w:tc>
        <w:tc>
          <w:tcPr>
            <w:tcW w:type="dxa" w:w="2076"/>
          </w:tcP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因系统固定格式原因，关于序号6“合同支付方式”中的“达到付款条件起7日内”，均系指“达到付款条件起7个工作日内”。</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0"/>
          <w:b/>
          <w:color w:val="000000"/>
          <w:shd w:fill="FFFFFF" w:val="clear"/>
        </w:rPr>
        <w:t>9</w:t>
      </w:r>
      <w:r>
        <w:rPr>
          <w:rFonts w:ascii="仿宋_GB2312" w:hAnsi="仿宋_GB2312" w:cs="仿宋_GB2312" w:eastAsia="仿宋_GB2312"/>
          <w:sz w:val="20"/>
          <w:b/>
          <w:color w:val="000000"/>
          <w:shd w:fill="FFFFFF" w:val="clear"/>
        </w:rPr>
        <w:t>、安装与调试</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1</w:t>
      </w:r>
      <w:r>
        <w:rPr>
          <w:rFonts w:ascii="仿宋_GB2312" w:hAnsi="仿宋_GB2312" w:cs="仿宋_GB2312" w:eastAsia="仿宋_GB2312"/>
          <w:sz w:val="20"/>
          <w:color w:val="000000"/>
          <w:shd w:fill="FFFFFF" w:val="clear"/>
        </w:rPr>
        <w:t>）合同签订后，中标人应在规定时间内向采购人提供详细的安装要求并提供技术咨询。</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2</w:t>
      </w:r>
      <w:r>
        <w:rPr>
          <w:rFonts w:ascii="仿宋_GB2312" w:hAnsi="仿宋_GB2312" w:cs="仿宋_GB2312" w:eastAsia="仿宋_GB2312"/>
          <w:sz w:val="20"/>
          <w:color w:val="000000"/>
          <w:shd w:fill="FFFFFF" w:val="clear"/>
        </w:rPr>
        <w:t>）由中标人负责将设备按签订合同的具体数量、具体地点运送到指定地点，中标人应在接到采购人通知后在规定时间内负责派技术人员到现场进行安装、调试，并负责调试至验收合格交付采购人使用。中标人在安装、调试等全过程中接受采购人的监督。</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3</w:t>
      </w:r>
      <w:r>
        <w:rPr>
          <w:rFonts w:ascii="仿宋_GB2312" w:hAnsi="仿宋_GB2312" w:cs="仿宋_GB2312" w:eastAsia="仿宋_GB2312"/>
          <w:sz w:val="20"/>
          <w:color w:val="000000"/>
          <w:shd w:fill="FFFFFF" w:val="clear"/>
        </w:rPr>
        <w:t>）中标人负责组织专业技术人员进行货物安装调试，保证各项安装工作顺利进行。</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4</w:t>
      </w:r>
      <w:r>
        <w:rPr>
          <w:rFonts w:ascii="仿宋_GB2312" w:hAnsi="仿宋_GB2312" w:cs="仿宋_GB2312" w:eastAsia="仿宋_GB2312"/>
          <w:sz w:val="20"/>
          <w:color w:val="000000"/>
          <w:shd w:fill="FFFFFF" w:val="clear"/>
        </w:rPr>
        <w:t>）设备到达采购人指定的最终现场后，中标人的工程师到现场安装设备，同时应向采购人介绍设备功能并进行现场演示。</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5</w:t>
      </w:r>
      <w:r>
        <w:rPr>
          <w:rFonts w:ascii="仿宋_GB2312" w:hAnsi="仿宋_GB2312" w:cs="仿宋_GB2312" w:eastAsia="仿宋_GB2312"/>
          <w:sz w:val="20"/>
          <w:color w:val="000000"/>
          <w:shd w:fill="FFFFFF" w:val="clear"/>
        </w:rPr>
        <w:t>）安装调试过程所发生的一切费用，均由中标人承担。</w:t>
      </w:r>
    </w:p>
    <w:p>
      <w:pPr>
        <w:pStyle w:val="null3"/>
        <w:ind w:firstLine="480"/>
        <w:jc w:val="left"/>
      </w:pPr>
      <w:r>
        <w:rPr>
          <w:rFonts w:ascii="仿宋_GB2312" w:hAnsi="仿宋_GB2312" w:cs="仿宋_GB2312" w:eastAsia="仿宋_GB2312"/>
          <w:sz w:val="20"/>
          <w:b/>
          <w:color w:val="000000"/>
          <w:shd w:fill="FFFFFF" w:val="clear"/>
        </w:rPr>
        <w:t>10</w:t>
      </w:r>
      <w:r>
        <w:rPr>
          <w:rFonts w:ascii="仿宋_GB2312" w:hAnsi="仿宋_GB2312" w:cs="仿宋_GB2312" w:eastAsia="仿宋_GB2312"/>
          <w:sz w:val="20"/>
          <w:b/>
          <w:color w:val="000000"/>
          <w:shd w:fill="FFFFFF" w:val="clear"/>
        </w:rPr>
        <w:t>、验收方案</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1</w:t>
      </w:r>
      <w:r>
        <w:rPr>
          <w:rFonts w:ascii="仿宋_GB2312" w:hAnsi="仿宋_GB2312" w:cs="仿宋_GB2312" w:eastAsia="仿宋_GB2312"/>
          <w:sz w:val="20"/>
          <w:color w:val="000000"/>
          <w:shd w:fill="FFFFFF" w:val="clear"/>
        </w:rPr>
        <w:t>）验收主体：政府采购合同采购人（甲方）；</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2</w:t>
      </w:r>
      <w:r>
        <w:rPr>
          <w:rFonts w:ascii="仿宋_GB2312" w:hAnsi="仿宋_GB2312" w:cs="仿宋_GB2312" w:eastAsia="仿宋_GB2312"/>
          <w:sz w:val="20"/>
          <w:color w:val="000000"/>
          <w:shd w:fill="FFFFFF" w:val="clear"/>
        </w:rPr>
        <w:t>）验收环节：到货验收、初步验收（含合同验收）、竣工验收；</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3</w:t>
      </w:r>
      <w:r>
        <w:rPr>
          <w:rFonts w:ascii="仿宋_GB2312" w:hAnsi="仿宋_GB2312" w:cs="仿宋_GB2312" w:eastAsia="仿宋_GB2312"/>
          <w:sz w:val="20"/>
          <w:color w:val="000000"/>
          <w:shd w:fill="FFFFFF" w:val="clear"/>
        </w:rPr>
        <w:t>）到货验收。依据《无线电监测设施测试验证工作规定（试行）》（工信部无﹝</w:t>
      </w:r>
      <w:r>
        <w:rPr>
          <w:rFonts w:ascii="仿宋_GB2312" w:hAnsi="仿宋_GB2312" w:cs="仿宋_GB2312" w:eastAsia="仿宋_GB2312"/>
          <w:sz w:val="20"/>
          <w:color w:val="000000"/>
          <w:shd w:fill="FFFFFF" w:val="clear"/>
        </w:rPr>
        <w:t>2017</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283</w:t>
      </w:r>
      <w:r>
        <w:rPr>
          <w:rFonts w:ascii="仿宋_GB2312" w:hAnsi="仿宋_GB2312" w:cs="仿宋_GB2312" w:eastAsia="仿宋_GB2312"/>
          <w:sz w:val="20"/>
          <w:color w:val="000000"/>
          <w:shd w:fill="FFFFFF" w:val="clear"/>
        </w:rPr>
        <w:t>号）</w:t>
      </w:r>
      <w:r>
        <w:rPr>
          <w:rFonts w:ascii="仿宋_GB2312" w:hAnsi="仿宋_GB2312" w:cs="仿宋_GB2312" w:eastAsia="仿宋_GB2312"/>
          <w:sz w:val="20"/>
          <w:color w:val="000000"/>
        </w:rPr>
        <w:t>和《福建省工业和信息化厅关于印发无线电基础和技术设施建设项目管理办法的通知》（闽工信函频管</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rPr>
        <w:t>2023</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rPr>
        <w:t>417</w:t>
      </w:r>
      <w:r>
        <w:rPr>
          <w:rFonts w:ascii="仿宋_GB2312" w:hAnsi="仿宋_GB2312" w:cs="仿宋_GB2312" w:eastAsia="仿宋_GB2312"/>
          <w:sz w:val="20"/>
          <w:color w:val="000000"/>
        </w:rPr>
        <w:t>号）</w:t>
      </w:r>
      <w:r>
        <w:rPr>
          <w:rFonts w:ascii="仿宋_GB2312" w:hAnsi="仿宋_GB2312" w:cs="仿宋_GB2312" w:eastAsia="仿宋_GB2312"/>
          <w:sz w:val="20"/>
          <w:color w:val="000000"/>
          <w:shd w:fill="FFFFFF" w:val="clear"/>
        </w:rPr>
        <w:t>相关要求及招投标文件、合同等有关内容进行验收。</w:t>
      </w:r>
      <w:r>
        <w:rPr>
          <w:rFonts w:ascii="仿宋_GB2312" w:hAnsi="仿宋_GB2312" w:cs="仿宋_GB2312" w:eastAsia="仿宋_GB2312"/>
          <w:sz w:val="20"/>
          <w:color w:val="000000"/>
        </w:rPr>
        <w:t>验收小组由采购人、中标人的人员组成。</w:t>
      </w:r>
      <w:r>
        <w:rPr>
          <w:rFonts w:ascii="仿宋_GB2312" w:hAnsi="仿宋_GB2312" w:cs="仿宋_GB2312" w:eastAsia="仿宋_GB2312"/>
          <w:sz w:val="20"/>
          <w:color w:val="000000"/>
          <w:shd w:fill="FFFFFF" w:val="clear"/>
        </w:rPr>
        <w:t>全部货物到达</w:t>
      </w:r>
      <w:r>
        <w:rPr>
          <w:rFonts w:ascii="仿宋_GB2312" w:hAnsi="仿宋_GB2312" w:cs="仿宋_GB2312" w:eastAsia="仿宋_GB2312"/>
          <w:sz w:val="20"/>
          <w:color w:val="000000"/>
        </w:rPr>
        <w:t>中标人集成地（含检测场所）或</w:t>
      </w:r>
      <w:r>
        <w:rPr>
          <w:rFonts w:ascii="仿宋_GB2312" w:hAnsi="仿宋_GB2312" w:cs="仿宋_GB2312" w:eastAsia="仿宋_GB2312"/>
          <w:sz w:val="20"/>
          <w:color w:val="000000"/>
          <w:shd w:fill="FFFFFF" w:val="clear"/>
        </w:rPr>
        <w:t>采购人指定地点后，中标人和采购人一同对全部货物的数量、型号、基本质量进行到货点验。</w:t>
      </w:r>
    </w:p>
    <w:p>
      <w:pPr>
        <w:pStyle w:val="null3"/>
        <w:ind w:firstLine="420"/>
        <w:jc w:val="left"/>
      </w:pPr>
      <w:r>
        <w:rPr>
          <w:rFonts w:ascii="仿宋_GB2312" w:hAnsi="仿宋_GB2312" w:cs="仿宋_GB2312" w:eastAsia="仿宋_GB2312"/>
          <w:sz w:val="20"/>
          <w:color w:val="000000"/>
          <w:shd w:fill="FFFFFF" w:val="clear"/>
        </w:rPr>
        <w:t>随同货物应提供供货证明、设备质量合格证、具有</w:t>
      </w:r>
      <w:r>
        <w:rPr>
          <w:rFonts w:ascii="仿宋_GB2312" w:hAnsi="仿宋_GB2312" w:cs="仿宋_GB2312" w:eastAsia="仿宋_GB2312"/>
          <w:sz w:val="20"/>
          <w:color w:val="000000"/>
          <w:shd w:fill="FFFFFF" w:val="clear"/>
        </w:rPr>
        <w:t>CMA</w:t>
      </w:r>
      <w:r>
        <w:rPr>
          <w:rFonts w:ascii="仿宋_GB2312" w:hAnsi="仿宋_GB2312" w:cs="仿宋_GB2312" w:eastAsia="仿宋_GB2312"/>
          <w:sz w:val="20"/>
          <w:color w:val="000000"/>
          <w:shd w:fill="FFFFFF" w:val="clear"/>
        </w:rPr>
        <w:t>或</w:t>
      </w:r>
      <w:r>
        <w:rPr>
          <w:rFonts w:ascii="仿宋_GB2312" w:hAnsi="仿宋_GB2312" w:cs="仿宋_GB2312" w:eastAsia="仿宋_GB2312"/>
          <w:sz w:val="20"/>
          <w:color w:val="000000"/>
          <w:shd w:fill="FFFFFF" w:val="clear"/>
        </w:rPr>
        <w:t>CNAS</w:t>
      </w:r>
      <w:r>
        <w:rPr>
          <w:rFonts w:ascii="仿宋_GB2312" w:hAnsi="仿宋_GB2312" w:cs="仿宋_GB2312" w:eastAsia="仿宋_GB2312"/>
          <w:sz w:val="20"/>
          <w:color w:val="000000"/>
          <w:shd w:fill="FFFFFF" w:val="clear"/>
        </w:rPr>
        <w:t>资质的第三方检测机构按</w:t>
      </w:r>
      <w:r>
        <w:rPr>
          <w:rFonts w:ascii="仿宋_GB2312" w:hAnsi="仿宋_GB2312" w:cs="仿宋_GB2312" w:eastAsia="仿宋_GB2312"/>
          <w:sz w:val="20"/>
          <w:color w:val="000000"/>
          <w:shd w:fill="FFFFFF" w:val="clear"/>
        </w:rPr>
        <w:t>GB/T32401-2015</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VHF/UHF</w:t>
      </w:r>
      <w:r>
        <w:rPr>
          <w:rFonts w:ascii="仿宋_GB2312" w:hAnsi="仿宋_GB2312" w:cs="仿宋_GB2312" w:eastAsia="仿宋_GB2312"/>
          <w:sz w:val="20"/>
          <w:color w:val="000000"/>
          <w:shd w:fill="FFFFFF" w:val="clear"/>
        </w:rPr>
        <w:t>频段无线电监测接收机技术要求及测试方法》出具的本项目交付清单（含设备序列号）中所列监测接收机正式检测报告</w:t>
      </w:r>
      <w:r>
        <w:rPr>
          <w:rFonts w:ascii="仿宋_GB2312" w:hAnsi="仿宋_GB2312" w:cs="仿宋_GB2312" w:eastAsia="仿宋_GB2312"/>
          <w:sz w:val="20"/>
          <w:color w:val="000000"/>
          <w:shd w:fill="FFFFFF" w:val="clear"/>
        </w:rPr>
        <w:t>和具有CMA或CNAS资质的第三方检测机构按GB/T34089-2017《VHF/UHF无线电监测测向系统开场测试参数和测试方法》，采用符合标准规定的测试场地进行测试验证，对本项目交付清单（含设备序列号）中所升级的监测测向系统进行第三方测试的检测报告。</w:t>
      </w:r>
      <w:r>
        <w:rPr>
          <w:rFonts w:ascii="仿宋_GB2312" w:hAnsi="仿宋_GB2312" w:cs="仿宋_GB2312" w:eastAsia="仿宋_GB2312"/>
          <w:sz w:val="20"/>
          <w:color w:val="000000"/>
          <w:shd w:fill="FFFFFF" w:val="clear"/>
        </w:rPr>
        <w:t>检测</w:t>
      </w:r>
      <w:r>
        <w:rPr>
          <w:rFonts w:ascii="仿宋_GB2312" w:hAnsi="仿宋_GB2312" w:cs="仿宋_GB2312" w:eastAsia="仿宋_GB2312"/>
          <w:sz w:val="20"/>
          <w:color w:val="000000"/>
          <w:shd w:fill="FFFFFF" w:val="clear"/>
        </w:rPr>
        <w:t>和测试</w:t>
      </w:r>
      <w:r>
        <w:rPr>
          <w:rFonts w:ascii="仿宋_GB2312" w:hAnsi="仿宋_GB2312" w:cs="仿宋_GB2312" w:eastAsia="仿宋_GB2312"/>
          <w:sz w:val="20"/>
          <w:color w:val="000000"/>
          <w:shd w:fill="FFFFFF" w:val="clear"/>
        </w:rPr>
        <w:t>费用由中标人承担。</w:t>
      </w:r>
    </w:p>
    <w:p>
      <w:pPr>
        <w:pStyle w:val="null3"/>
        <w:ind w:firstLine="480"/>
        <w:jc w:val="left"/>
      </w:pPr>
      <w:r>
        <w:rPr>
          <w:rFonts w:ascii="仿宋_GB2312" w:hAnsi="仿宋_GB2312" w:cs="仿宋_GB2312" w:eastAsia="仿宋_GB2312"/>
          <w:sz w:val="20"/>
          <w:color w:val="000000"/>
        </w:rPr>
        <w:t>中标人按招标文件、合同等有关内容完成货物现场安装、联网调试，可以正常运行</w:t>
      </w:r>
      <w:r>
        <w:rPr>
          <w:rFonts w:ascii="仿宋_GB2312" w:hAnsi="仿宋_GB2312" w:cs="仿宋_GB2312" w:eastAsia="仿宋_GB2312"/>
          <w:sz w:val="20"/>
          <w:color w:val="000000"/>
        </w:rPr>
        <w:t>24</w:t>
      </w:r>
      <w:r>
        <w:rPr>
          <w:rFonts w:ascii="仿宋_GB2312" w:hAnsi="仿宋_GB2312" w:cs="仿宋_GB2312" w:eastAsia="仿宋_GB2312"/>
          <w:sz w:val="20"/>
          <w:color w:val="000000"/>
        </w:rPr>
        <w:t>小时后，中标人申请进行到货验收。</w:t>
      </w:r>
    </w:p>
    <w:p>
      <w:pPr>
        <w:pStyle w:val="null3"/>
        <w:ind w:firstLine="480"/>
        <w:jc w:val="left"/>
      </w:pPr>
      <w:r>
        <w:rPr>
          <w:rFonts w:ascii="仿宋_GB2312" w:hAnsi="仿宋_GB2312" w:cs="仿宋_GB2312" w:eastAsia="仿宋_GB2312"/>
          <w:sz w:val="20"/>
          <w:color w:val="000000"/>
        </w:rPr>
        <w:t>到货验收如果不合格，中标人进行为期</w:t>
      </w:r>
      <w:r>
        <w:rPr>
          <w:rFonts w:ascii="仿宋_GB2312" w:hAnsi="仿宋_GB2312" w:cs="仿宋_GB2312" w:eastAsia="仿宋_GB2312"/>
          <w:sz w:val="20"/>
          <w:color w:val="000000"/>
        </w:rPr>
        <w:t>15</w:t>
      </w:r>
      <w:r>
        <w:rPr>
          <w:rFonts w:ascii="仿宋_GB2312" w:hAnsi="仿宋_GB2312" w:cs="仿宋_GB2312" w:eastAsia="仿宋_GB2312"/>
          <w:sz w:val="20"/>
          <w:color w:val="000000"/>
        </w:rPr>
        <w:t>个日历日的整改后再次组织到货验收。再次到货验收不合格的，采购人有权解除采购合同且履约保证金不予退还，要求中标人赔偿损失以及保留更换中标人或重新组织政府采购的权力，并将相关情况报相关行政主管部门处理。</w:t>
      </w:r>
    </w:p>
    <w:p>
      <w:pPr>
        <w:pStyle w:val="null3"/>
        <w:ind w:firstLine="48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4</w:t>
      </w:r>
      <w:r>
        <w:rPr>
          <w:rFonts w:ascii="仿宋_GB2312" w:hAnsi="仿宋_GB2312" w:cs="仿宋_GB2312" w:eastAsia="仿宋_GB2312"/>
          <w:sz w:val="20"/>
          <w:color w:val="000000"/>
          <w:shd w:fill="FFFFFF" w:val="clear"/>
        </w:rPr>
        <w:t>）初步验收（含合同验收）。</w:t>
      </w:r>
      <w:r>
        <w:rPr>
          <w:rFonts w:ascii="仿宋_GB2312" w:hAnsi="仿宋_GB2312" w:cs="仿宋_GB2312" w:eastAsia="仿宋_GB2312"/>
          <w:sz w:val="20"/>
          <w:color w:val="000000"/>
        </w:rPr>
        <w:t>到货验收合格后，采购人按照国家无线电管理（技术）机构规定及《福建省工业和信息化厅关于印发无线电基础和技术设施建设项目管理办法的通知》（闽工信函频管</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rPr>
        <w:t>2023</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rPr>
        <w:t>417</w:t>
      </w:r>
      <w:r>
        <w:rPr>
          <w:rFonts w:ascii="仿宋_GB2312" w:hAnsi="仿宋_GB2312" w:cs="仿宋_GB2312" w:eastAsia="仿宋_GB2312"/>
          <w:sz w:val="20"/>
          <w:color w:val="000000"/>
        </w:rPr>
        <w:t>号）要求组织专家组对项目进行初步验收。</w:t>
      </w:r>
    </w:p>
    <w:p>
      <w:pPr>
        <w:pStyle w:val="null3"/>
        <w:ind w:firstLine="480"/>
        <w:jc w:val="left"/>
      </w:pPr>
      <w:r>
        <w:rPr>
          <w:rFonts w:ascii="仿宋_GB2312" w:hAnsi="仿宋_GB2312" w:cs="仿宋_GB2312" w:eastAsia="仿宋_GB2312"/>
          <w:sz w:val="20"/>
          <w:color w:val="000000"/>
        </w:rPr>
        <w:t>一体化设备操作服务（原子化服务封装）建设内容应按照《省级无线电管理一体化平台建设规范》（国无办〔</w:t>
      </w:r>
      <w:r>
        <w:rPr>
          <w:rFonts w:ascii="仿宋_GB2312" w:hAnsi="仿宋_GB2312" w:cs="仿宋_GB2312" w:eastAsia="仿宋_GB2312"/>
          <w:sz w:val="20"/>
          <w:color w:val="000000"/>
        </w:rPr>
        <w:t>2019</w:t>
      </w:r>
      <w:r>
        <w:rPr>
          <w:rFonts w:ascii="仿宋_GB2312" w:hAnsi="仿宋_GB2312" w:cs="仿宋_GB2312" w:eastAsia="仿宋_GB2312"/>
          <w:sz w:val="20"/>
          <w:color w:val="000000"/>
        </w:rPr>
        <w:t>〕</w:t>
      </w:r>
      <w:r>
        <w:rPr>
          <w:rFonts w:ascii="仿宋_GB2312" w:hAnsi="仿宋_GB2312" w:cs="仿宋_GB2312" w:eastAsia="仿宋_GB2312"/>
          <w:sz w:val="20"/>
          <w:color w:val="000000"/>
        </w:rPr>
        <w:t>37</w:t>
      </w:r>
      <w:r>
        <w:rPr>
          <w:rFonts w:ascii="仿宋_GB2312" w:hAnsi="仿宋_GB2312" w:cs="仿宋_GB2312" w:eastAsia="仿宋_GB2312"/>
          <w:sz w:val="20"/>
          <w:color w:val="000000"/>
        </w:rPr>
        <w:t>号）文件要求，提供具有</w:t>
      </w:r>
      <w:r>
        <w:rPr>
          <w:rFonts w:ascii="仿宋_GB2312" w:hAnsi="仿宋_GB2312" w:cs="仿宋_GB2312" w:eastAsia="仿宋_GB2312"/>
          <w:sz w:val="20"/>
          <w:color w:val="000000"/>
        </w:rPr>
        <w:t>CMA</w:t>
      </w:r>
      <w:r>
        <w:rPr>
          <w:rFonts w:ascii="仿宋_GB2312" w:hAnsi="仿宋_GB2312" w:cs="仿宋_GB2312" w:eastAsia="仿宋_GB2312"/>
          <w:sz w:val="20"/>
          <w:color w:val="000000"/>
        </w:rPr>
        <w:t>或</w:t>
      </w:r>
      <w:r>
        <w:rPr>
          <w:rFonts w:ascii="仿宋_GB2312" w:hAnsi="仿宋_GB2312" w:cs="仿宋_GB2312" w:eastAsia="仿宋_GB2312"/>
          <w:sz w:val="20"/>
          <w:color w:val="000000"/>
        </w:rPr>
        <w:t>CNAS</w:t>
      </w:r>
      <w:r>
        <w:rPr>
          <w:rFonts w:ascii="仿宋_GB2312" w:hAnsi="仿宋_GB2312" w:cs="仿宋_GB2312" w:eastAsia="仿宋_GB2312"/>
          <w:sz w:val="20"/>
          <w:color w:val="000000"/>
        </w:rPr>
        <w:t>资质的第三方测试机构出具的协议符合性测试报告，其中第三方测试机构应由中标人初步选定并由采购人书面认可，相关测试费用均由中标人承担。软件功能采取现场操作比对和测试指标比对的方式验收。</w:t>
      </w:r>
    </w:p>
    <w:p>
      <w:pPr>
        <w:pStyle w:val="null3"/>
        <w:ind w:firstLine="480"/>
        <w:jc w:val="left"/>
      </w:pPr>
      <w:r>
        <w:rPr>
          <w:rFonts w:ascii="仿宋_GB2312" w:hAnsi="仿宋_GB2312" w:cs="仿宋_GB2312" w:eastAsia="仿宋_GB2312"/>
          <w:sz w:val="20"/>
          <w:color w:val="000000"/>
        </w:rPr>
        <w:t>初步验收前，要求对各个单项功能进行逐项检验和系统总体测试，均达到标书所要求的系统功能，并实现系统正常运行。中标人应负责在验收时将系统的全部有关技术文件、资料及安装、测试报告等文档汇集成册交付采购人。</w:t>
      </w:r>
    </w:p>
    <w:p>
      <w:pPr>
        <w:pStyle w:val="null3"/>
        <w:ind w:firstLine="480"/>
        <w:jc w:val="left"/>
      </w:pPr>
      <w:r>
        <w:rPr>
          <w:rFonts w:ascii="仿宋_GB2312" w:hAnsi="仿宋_GB2312" w:cs="仿宋_GB2312" w:eastAsia="仿宋_GB2312"/>
          <w:sz w:val="20"/>
          <w:color w:val="000000"/>
        </w:rPr>
        <w:t>初步验收不合格的，中标人进行为期</w:t>
      </w:r>
      <w:r>
        <w:rPr>
          <w:rFonts w:ascii="仿宋_GB2312" w:hAnsi="仿宋_GB2312" w:cs="仿宋_GB2312" w:eastAsia="仿宋_GB2312"/>
          <w:sz w:val="20"/>
          <w:color w:val="000000"/>
        </w:rPr>
        <w:t>15</w:t>
      </w:r>
      <w:r>
        <w:rPr>
          <w:rFonts w:ascii="仿宋_GB2312" w:hAnsi="仿宋_GB2312" w:cs="仿宋_GB2312" w:eastAsia="仿宋_GB2312"/>
          <w:sz w:val="20"/>
          <w:color w:val="000000"/>
        </w:rPr>
        <w:t>个日历日的整改后再次组织验收。再次初步验收不合格的，采购人有权废止采购合同且履约保证金不予退还，要求中标人赔偿损失以及保留更换中标人或重新组织政府采购的权力，并将相关情况报相关行政主管部门处理。</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5</w:t>
      </w:r>
      <w:r>
        <w:rPr>
          <w:rFonts w:ascii="仿宋_GB2312" w:hAnsi="仿宋_GB2312" w:cs="仿宋_GB2312" w:eastAsia="仿宋_GB2312"/>
          <w:sz w:val="20"/>
          <w:color w:val="000000"/>
          <w:shd w:fill="FFFFFF" w:val="clear"/>
        </w:rPr>
        <w:t>）试运行。初步验收合格后，投标人需与采购人进行交接工作，授与采购人相关知识专题培训，进入试运行期，开展</w:t>
      </w:r>
      <w:r>
        <w:rPr>
          <w:rFonts w:ascii="仿宋_GB2312" w:hAnsi="仿宋_GB2312" w:cs="仿宋_GB2312" w:eastAsia="仿宋_GB2312"/>
          <w:sz w:val="20"/>
          <w:color w:val="000000"/>
          <w:shd w:fill="FFFFFF" w:val="clear"/>
        </w:rPr>
        <w:t>不少于</w:t>
      </w:r>
      <w:r>
        <w:rPr>
          <w:rFonts w:ascii="仿宋_GB2312" w:hAnsi="仿宋_GB2312" w:cs="仿宋_GB2312" w:eastAsia="仿宋_GB2312"/>
          <w:sz w:val="20"/>
          <w:color w:val="000000"/>
          <w:shd w:fill="FFFFFF" w:val="clear"/>
        </w:rPr>
        <w:t>30</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24</w:t>
      </w:r>
      <w:r>
        <w:rPr>
          <w:rFonts w:ascii="仿宋_GB2312" w:hAnsi="仿宋_GB2312" w:cs="仿宋_GB2312" w:eastAsia="仿宋_GB2312"/>
          <w:sz w:val="20"/>
          <w:color w:val="000000"/>
          <w:shd w:fill="FFFFFF" w:val="clear"/>
        </w:rPr>
        <w:t>小时连续试运行，试运行期间系统集成核心设备及功能连续</w:t>
      </w:r>
      <w:r>
        <w:rPr>
          <w:rFonts w:ascii="仿宋_GB2312" w:hAnsi="仿宋_GB2312" w:cs="仿宋_GB2312" w:eastAsia="仿宋_GB2312"/>
          <w:sz w:val="20"/>
          <w:color w:val="000000"/>
          <w:shd w:fill="FFFFFF" w:val="clear"/>
        </w:rPr>
        <w:t>30</w:t>
      </w:r>
      <w:r>
        <w:rPr>
          <w:rFonts w:ascii="仿宋_GB2312" w:hAnsi="仿宋_GB2312" w:cs="仿宋_GB2312" w:eastAsia="仿宋_GB2312"/>
          <w:sz w:val="20"/>
          <w:color w:val="000000"/>
          <w:shd w:fill="FFFFFF" w:val="clear"/>
        </w:rPr>
        <w:t>天无故障的，由中标人书面提出竣工验收申请。</w:t>
      </w:r>
      <w:r>
        <w:rPr>
          <w:rFonts w:ascii="仿宋_GB2312" w:hAnsi="仿宋_GB2312" w:cs="仿宋_GB2312" w:eastAsia="仿宋_GB2312"/>
          <w:sz w:val="20"/>
          <w:color w:val="000000"/>
        </w:rPr>
        <w:t>在试运行期间，出现重大故障，如：系统崩溃、招标文件技术要求中列入的主要功能不能实现以及存在致使系统不能正常工作的缺陷，则试运行期从故障修复之日起重新计算，顺延一个月。</w:t>
      </w:r>
    </w:p>
    <w:p>
      <w:pPr>
        <w:pStyle w:val="null3"/>
        <w:ind w:firstLine="48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6</w:t>
      </w:r>
      <w:r>
        <w:rPr>
          <w:rFonts w:ascii="仿宋_GB2312" w:hAnsi="仿宋_GB2312" w:cs="仿宋_GB2312" w:eastAsia="仿宋_GB2312"/>
          <w:sz w:val="20"/>
          <w:color w:val="000000"/>
          <w:shd w:fill="FFFFFF" w:val="clear"/>
        </w:rPr>
        <w:t>）竣工验收。试运行期满后，</w:t>
      </w:r>
      <w:r>
        <w:rPr>
          <w:rFonts w:ascii="仿宋_GB2312" w:hAnsi="仿宋_GB2312" w:cs="仿宋_GB2312" w:eastAsia="仿宋_GB2312"/>
          <w:sz w:val="20"/>
          <w:color w:val="000000"/>
        </w:rPr>
        <w:t>中标人需按照国家无线电管理（技术）机构规定及《福建省工业和信息化厅关于印发无线电基础和技术设施建设项目管理办法的通知》（闽工信函频管</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rPr>
        <w:t>2023</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rPr>
        <w:t>417</w:t>
      </w:r>
      <w:r>
        <w:rPr>
          <w:rFonts w:ascii="仿宋_GB2312" w:hAnsi="仿宋_GB2312" w:cs="仿宋_GB2312" w:eastAsia="仿宋_GB2312"/>
          <w:sz w:val="20"/>
          <w:color w:val="000000"/>
        </w:rPr>
        <w:t>号）要求，提交完备的项目竣工相关文档（包括但不限于设备的安装、运行、使用、测试、诊断、软硬件设备的安装指南和维修的技术文件）、备份的资料、采集的数据（如实施文档、配置文档、拓扑图、施工效果图等）等材料，交由采购人组织专家组进行竣工验收。</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7</w:t>
      </w:r>
      <w:r>
        <w:rPr>
          <w:rFonts w:ascii="仿宋_GB2312" w:hAnsi="仿宋_GB2312" w:cs="仿宋_GB2312" w:eastAsia="仿宋_GB2312"/>
          <w:sz w:val="20"/>
          <w:color w:val="000000"/>
          <w:shd w:fill="FFFFFF" w:val="clear"/>
        </w:rPr>
        <w:t>）验收标准：招标文件、投标文件、采购合同约定的标的及其功能、性能及技术指标等；未约定的，应当符合国家强制性规定、政策要求、安全标准、行业或企业有关标准等。</w:t>
      </w:r>
    </w:p>
    <w:p>
      <w:pPr>
        <w:pStyle w:val="null3"/>
        <w:ind w:firstLine="420"/>
        <w:jc w:val="left"/>
      </w:pPr>
      <w:r>
        <w:rPr>
          <w:rFonts w:ascii="仿宋_GB2312" w:hAnsi="仿宋_GB2312" w:cs="仿宋_GB2312" w:eastAsia="仿宋_GB2312"/>
          <w:sz w:val="20"/>
          <w:color w:val="000000"/>
          <w:shd w:fill="FFFFFF" w:val="clear"/>
        </w:rPr>
        <w:t>验收达不到标准的，中标人必须予以调换全新产品，并且赔偿由此给采购人造成的损失。</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8</w:t>
      </w:r>
      <w:r>
        <w:rPr>
          <w:rFonts w:ascii="仿宋_GB2312" w:hAnsi="仿宋_GB2312" w:cs="仿宋_GB2312" w:eastAsia="仿宋_GB2312"/>
          <w:sz w:val="20"/>
          <w:color w:val="000000"/>
          <w:shd w:fill="FFFFFF" w:val="clear"/>
        </w:rPr>
        <w:t>）各验收环节所涉及的费用，包含且不限于交通运输、安装、测试、专家评审等，均由中标人承担。</w:t>
      </w:r>
    </w:p>
    <w:p>
      <w:pPr>
        <w:pStyle w:val="null3"/>
        <w:ind w:firstLine="480"/>
        <w:jc w:val="left"/>
      </w:pPr>
      <w:r>
        <w:rPr>
          <w:rFonts w:ascii="仿宋_GB2312" w:hAnsi="仿宋_GB2312" w:cs="仿宋_GB2312" w:eastAsia="仿宋_GB2312"/>
          <w:sz w:val="20"/>
          <w:b/>
          <w:color w:val="000000"/>
          <w:shd w:fill="FFFFFF" w:val="clear"/>
        </w:rPr>
        <w:t>11</w:t>
      </w:r>
      <w:r>
        <w:rPr>
          <w:rFonts w:ascii="仿宋_GB2312" w:hAnsi="仿宋_GB2312" w:cs="仿宋_GB2312" w:eastAsia="仿宋_GB2312"/>
          <w:sz w:val="20"/>
          <w:b/>
          <w:color w:val="000000"/>
          <w:shd w:fill="FFFFFF" w:val="clear"/>
        </w:rPr>
        <w:t>、质量要求</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1</w:t>
      </w:r>
      <w:r>
        <w:rPr>
          <w:rFonts w:ascii="仿宋_GB2312" w:hAnsi="仿宋_GB2312" w:cs="仿宋_GB2312" w:eastAsia="仿宋_GB2312"/>
          <w:sz w:val="20"/>
          <w:color w:val="000000"/>
          <w:shd w:fill="FFFFFF" w:val="clear"/>
        </w:rPr>
        <w:t>）中标人保证货物是全新原装品牌货物并完全符合招标文件、合同规定的质量、规格的要求。</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2</w:t>
      </w:r>
      <w:r>
        <w:rPr>
          <w:rFonts w:ascii="仿宋_GB2312" w:hAnsi="仿宋_GB2312" w:cs="仿宋_GB2312" w:eastAsia="仿宋_GB2312"/>
          <w:sz w:val="20"/>
          <w:color w:val="000000"/>
          <w:shd w:fill="FFFFFF" w:val="clear"/>
        </w:rPr>
        <w:t>）中标人保证所提供的货物经正确安装在其使用寿命期内应具有满意的效果。在质量保证期之内，中标人对由于设计、工艺或材料的缺陷而导致的后果负责。</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3</w:t>
      </w:r>
      <w:r>
        <w:rPr>
          <w:rFonts w:ascii="仿宋_GB2312" w:hAnsi="仿宋_GB2312" w:cs="仿宋_GB2312" w:eastAsia="仿宋_GB2312"/>
          <w:sz w:val="20"/>
          <w:color w:val="000000"/>
          <w:shd w:fill="FFFFFF" w:val="clear"/>
        </w:rPr>
        <w:t>）系统所有设备和材料在安装调试完成，经验收合格并交付使用后，质量保证期内，产品因非采购人人为原因造成的任何缺陷或损坏时，中标人应负责修理和更换，由此发生的一切费用由中标人承担。</w:t>
      </w:r>
    </w:p>
    <w:p>
      <w:pPr>
        <w:pStyle w:val="null3"/>
        <w:ind w:firstLine="480"/>
        <w:jc w:val="left"/>
      </w:pPr>
      <w:r>
        <w:rPr>
          <w:rFonts w:ascii="仿宋_GB2312" w:hAnsi="仿宋_GB2312" w:cs="仿宋_GB2312" w:eastAsia="仿宋_GB2312"/>
          <w:sz w:val="20"/>
          <w:b/>
          <w:color w:val="000000"/>
          <w:shd w:fill="FFFFFF" w:val="clear"/>
        </w:rPr>
        <w:t>12</w:t>
      </w:r>
      <w:r>
        <w:rPr>
          <w:rFonts w:ascii="仿宋_GB2312" w:hAnsi="仿宋_GB2312" w:cs="仿宋_GB2312" w:eastAsia="仿宋_GB2312"/>
          <w:sz w:val="20"/>
          <w:b/>
          <w:color w:val="000000"/>
          <w:shd w:fill="FFFFFF" w:val="clear"/>
        </w:rPr>
        <w:t>、售后服务要求</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1</w:t>
      </w:r>
      <w:r>
        <w:rPr>
          <w:rFonts w:ascii="仿宋_GB2312" w:hAnsi="仿宋_GB2312" w:cs="仿宋_GB2312" w:eastAsia="仿宋_GB2312"/>
          <w:sz w:val="20"/>
          <w:color w:val="000000"/>
          <w:shd w:fill="FFFFFF" w:val="clear"/>
        </w:rPr>
        <w:t>）所有新采购产品须提供</w:t>
      </w:r>
      <w:r>
        <w:rPr>
          <w:rFonts w:ascii="仿宋_GB2312" w:hAnsi="仿宋_GB2312" w:cs="仿宋_GB2312" w:eastAsia="仿宋_GB2312"/>
          <w:sz w:val="20"/>
          <w:color w:val="000000"/>
          <w:shd w:fill="FFFFFF" w:val="clear"/>
        </w:rPr>
        <w:t>3</w:t>
      </w:r>
      <w:r>
        <w:rPr>
          <w:rFonts w:ascii="仿宋_GB2312" w:hAnsi="仿宋_GB2312" w:cs="仿宋_GB2312" w:eastAsia="仿宋_GB2312"/>
          <w:sz w:val="20"/>
          <w:color w:val="000000"/>
          <w:shd w:fill="FFFFFF" w:val="clear"/>
        </w:rPr>
        <w:t>年的质保期，系统软件终身提供无偿升级服务，终身提供技术支持，质保期自竣工验收完成之日起计算。</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2</w:t>
      </w:r>
      <w:r>
        <w:rPr>
          <w:rFonts w:ascii="仿宋_GB2312" w:hAnsi="仿宋_GB2312" w:cs="仿宋_GB2312" w:eastAsia="仿宋_GB2312"/>
          <w:sz w:val="20"/>
          <w:color w:val="000000"/>
          <w:shd w:fill="FFFFFF" w:val="clear"/>
        </w:rPr>
        <w:t>）质保期内：中标人须进行设备调试；上门维修保养及更换配件；在质量保证期内设备运行发生故障时，中标人在接到采购人故障通知后</w:t>
      </w:r>
      <w:r>
        <w:rPr>
          <w:rFonts w:ascii="仿宋_GB2312" w:hAnsi="仿宋_GB2312" w:cs="仿宋_GB2312" w:eastAsia="仿宋_GB2312"/>
          <w:sz w:val="20"/>
          <w:color w:val="000000"/>
          <w:shd w:fill="FFFFFF" w:val="clear"/>
        </w:rPr>
        <w:t>1</w:t>
      </w:r>
      <w:r>
        <w:rPr>
          <w:rFonts w:ascii="仿宋_GB2312" w:hAnsi="仿宋_GB2312" w:cs="仿宋_GB2312" w:eastAsia="仿宋_GB2312"/>
          <w:sz w:val="20"/>
          <w:color w:val="000000"/>
          <w:shd w:fill="FFFFFF" w:val="clear"/>
        </w:rPr>
        <w:t>小时内响应要求，</w:t>
      </w:r>
      <w:r>
        <w:rPr>
          <w:rFonts w:ascii="仿宋_GB2312" w:hAnsi="仿宋_GB2312" w:cs="仿宋_GB2312" w:eastAsia="仿宋_GB2312"/>
          <w:sz w:val="20"/>
          <w:color w:val="000000"/>
          <w:shd w:fill="FFFFFF" w:val="clear"/>
        </w:rPr>
        <w:t>24</w:t>
      </w:r>
      <w:r>
        <w:rPr>
          <w:rFonts w:ascii="仿宋_GB2312" w:hAnsi="仿宋_GB2312" w:cs="仿宋_GB2312" w:eastAsia="仿宋_GB2312"/>
          <w:sz w:val="20"/>
          <w:color w:val="000000"/>
          <w:shd w:fill="FFFFFF" w:val="clear"/>
        </w:rPr>
        <w:t>小时内应委派专业技术人员到现场提供咨询、维修和更换有缺陷的零部件或整机等服务，并及时填写维修报告（包括故障原因、处理情况及采购人意见等</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报采购人备案，若</w:t>
      </w:r>
      <w:r>
        <w:rPr>
          <w:rFonts w:ascii="仿宋_GB2312" w:hAnsi="仿宋_GB2312" w:cs="仿宋_GB2312" w:eastAsia="仿宋_GB2312"/>
          <w:sz w:val="20"/>
          <w:color w:val="000000"/>
          <w:shd w:fill="FFFFFF" w:val="clear"/>
        </w:rPr>
        <w:t>48</w:t>
      </w:r>
      <w:r>
        <w:rPr>
          <w:rFonts w:ascii="仿宋_GB2312" w:hAnsi="仿宋_GB2312" w:cs="仿宋_GB2312" w:eastAsia="仿宋_GB2312"/>
          <w:sz w:val="20"/>
          <w:color w:val="000000"/>
          <w:shd w:fill="FFFFFF" w:val="clear"/>
        </w:rPr>
        <w:t>小时内无法排除故障，则应先提供同等配置的备用机供采购人使用，由此产生的一切费用由中标人承担。质量保证期内中标人有责任对设备进行不定期的巡查检修。质量保证期内中标人无法根据合同及招标文件的要求提供质量保修服务，造成采购人损失的，采购人有权提出索赔，索赔金额不超过采购人实际损失的</w:t>
      </w:r>
      <w:r>
        <w:rPr>
          <w:rFonts w:ascii="仿宋_GB2312" w:hAnsi="仿宋_GB2312" w:cs="仿宋_GB2312" w:eastAsia="仿宋_GB2312"/>
          <w:sz w:val="20"/>
          <w:color w:val="000000"/>
          <w:shd w:fill="FFFFFF" w:val="clear"/>
        </w:rPr>
        <w:t>2</w:t>
      </w:r>
      <w:r>
        <w:rPr>
          <w:rFonts w:ascii="仿宋_GB2312" w:hAnsi="仿宋_GB2312" w:cs="仿宋_GB2312" w:eastAsia="仿宋_GB2312"/>
          <w:sz w:val="20"/>
          <w:color w:val="000000"/>
          <w:shd w:fill="FFFFFF" w:val="clear"/>
        </w:rPr>
        <w:t>倍。</w:t>
      </w:r>
      <w:r>
        <w:rPr>
          <w:rFonts w:ascii="仿宋_GB2312" w:hAnsi="仿宋_GB2312" w:cs="仿宋_GB2312" w:eastAsia="仿宋_GB2312"/>
          <w:sz w:val="20"/>
          <w:color w:val="000000"/>
          <w:shd w:fill="FFFFFF" w:val="clear"/>
        </w:rPr>
        <w:t>中标人</w:t>
      </w:r>
      <w:r>
        <w:rPr>
          <w:rFonts w:ascii="仿宋_GB2312" w:hAnsi="仿宋_GB2312" w:cs="仿宋_GB2312" w:eastAsia="仿宋_GB2312"/>
          <w:sz w:val="20"/>
          <w:color w:val="000000"/>
          <w:shd w:fill="FFFFFF" w:val="clear"/>
        </w:rPr>
        <w:t>应配合采购人做好</w:t>
      </w:r>
      <w:r>
        <w:rPr>
          <w:rFonts w:ascii="仿宋_GB2312" w:hAnsi="仿宋_GB2312" w:cs="仿宋_GB2312" w:eastAsia="仿宋_GB2312"/>
          <w:sz w:val="20"/>
          <w:color w:val="000000"/>
          <w:shd w:fill="FFFFFF" w:val="clear"/>
        </w:rPr>
        <w:t>本项目的</w:t>
      </w:r>
      <w:r>
        <w:rPr>
          <w:rFonts w:ascii="仿宋_GB2312" w:hAnsi="仿宋_GB2312" w:cs="仿宋_GB2312" w:eastAsia="仿宋_GB2312"/>
          <w:sz w:val="20"/>
          <w:color w:val="000000"/>
          <w:shd w:fill="FFFFFF" w:val="clear"/>
        </w:rPr>
        <w:t>一体化平台原子化服务的维护工作，包括且不限于原子化服务接口调试，故障排查</w:t>
      </w:r>
      <w:r>
        <w:rPr>
          <w:rFonts w:ascii="仿宋_GB2312" w:hAnsi="仿宋_GB2312" w:cs="仿宋_GB2312" w:eastAsia="仿宋_GB2312"/>
          <w:sz w:val="20"/>
          <w:color w:val="000000"/>
          <w:shd w:fill="FFFFFF" w:val="clear"/>
        </w:rPr>
        <w:t>，与无线电管理一体化基础平台和资源调度平台的调试和升级</w:t>
      </w:r>
      <w:r>
        <w:rPr>
          <w:rFonts w:ascii="仿宋_GB2312" w:hAnsi="仿宋_GB2312" w:cs="仿宋_GB2312" w:eastAsia="仿宋_GB2312"/>
          <w:sz w:val="20"/>
          <w:color w:val="000000"/>
          <w:shd w:fill="FFFFFF" w:val="clear"/>
        </w:rPr>
        <w:t>等，响应时间不超过</w:t>
      </w:r>
      <w:r>
        <w:rPr>
          <w:rFonts w:ascii="仿宋_GB2312" w:hAnsi="仿宋_GB2312" w:cs="仿宋_GB2312" w:eastAsia="仿宋_GB2312"/>
          <w:sz w:val="20"/>
          <w:color w:val="000000"/>
          <w:shd w:fill="FFFFFF" w:val="clear"/>
        </w:rPr>
        <w:t>2</w:t>
      </w:r>
      <w:r>
        <w:rPr>
          <w:rFonts w:ascii="仿宋_GB2312" w:hAnsi="仿宋_GB2312" w:cs="仿宋_GB2312" w:eastAsia="仿宋_GB2312"/>
          <w:sz w:val="20"/>
          <w:color w:val="000000"/>
          <w:shd w:fill="FFFFFF" w:val="clear"/>
        </w:rPr>
        <w:t>小时</w:t>
      </w:r>
      <w:r>
        <w:rPr>
          <w:rFonts w:ascii="仿宋_GB2312" w:hAnsi="仿宋_GB2312" w:cs="仿宋_GB2312" w:eastAsia="仿宋_GB2312"/>
          <w:sz w:val="20"/>
          <w:color w:val="000000"/>
          <w:shd w:fill="FFFFFF" w:val="clear"/>
        </w:rPr>
        <w:t>，处置时间不超过24小时</w:t>
      </w:r>
      <w:r>
        <w:rPr>
          <w:rFonts w:ascii="仿宋_GB2312" w:hAnsi="仿宋_GB2312" w:cs="仿宋_GB2312" w:eastAsia="仿宋_GB2312"/>
          <w:sz w:val="20"/>
          <w:color w:val="000000"/>
          <w:shd w:fill="FFFFFF" w:val="clear"/>
        </w:rPr>
        <w:t>。</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3</w:t>
      </w:r>
      <w:r>
        <w:rPr>
          <w:rFonts w:ascii="仿宋_GB2312" w:hAnsi="仿宋_GB2312" w:cs="仿宋_GB2312" w:eastAsia="仿宋_GB2312"/>
          <w:sz w:val="20"/>
          <w:color w:val="000000"/>
          <w:shd w:fill="FFFFFF" w:val="clear"/>
        </w:rPr>
        <w:t>）质保期外：中标人仍应对货物提供终身维修服务，收到采购人故障通知后</w:t>
      </w:r>
      <w:r>
        <w:rPr>
          <w:rFonts w:ascii="仿宋_GB2312" w:hAnsi="仿宋_GB2312" w:cs="仿宋_GB2312" w:eastAsia="仿宋_GB2312"/>
          <w:sz w:val="20"/>
          <w:color w:val="000000"/>
          <w:shd w:fill="FFFFFF" w:val="clear"/>
        </w:rPr>
        <w:t>6</w:t>
      </w:r>
      <w:r>
        <w:rPr>
          <w:rFonts w:ascii="仿宋_GB2312" w:hAnsi="仿宋_GB2312" w:cs="仿宋_GB2312" w:eastAsia="仿宋_GB2312"/>
          <w:sz w:val="20"/>
          <w:color w:val="000000"/>
          <w:shd w:fill="FFFFFF" w:val="clear"/>
        </w:rPr>
        <w:t>小时内响应，</w:t>
      </w:r>
      <w:r>
        <w:rPr>
          <w:rFonts w:ascii="仿宋_GB2312" w:hAnsi="仿宋_GB2312" w:cs="仿宋_GB2312" w:eastAsia="仿宋_GB2312"/>
          <w:sz w:val="20"/>
          <w:color w:val="000000"/>
          <w:shd w:fill="FFFFFF" w:val="clear"/>
        </w:rPr>
        <w:t>48</w:t>
      </w:r>
      <w:r>
        <w:rPr>
          <w:rFonts w:ascii="仿宋_GB2312" w:hAnsi="仿宋_GB2312" w:cs="仿宋_GB2312" w:eastAsia="仿宋_GB2312"/>
          <w:sz w:val="20"/>
          <w:color w:val="000000"/>
          <w:shd w:fill="FFFFFF" w:val="clear"/>
        </w:rPr>
        <w:t>小时内派人到达现场解决，维修过程只收取配件费，且以最优惠价格提供。</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4</w:t>
      </w:r>
      <w:r>
        <w:rPr>
          <w:rFonts w:ascii="仿宋_GB2312" w:hAnsi="仿宋_GB2312" w:cs="仿宋_GB2312" w:eastAsia="仿宋_GB2312"/>
          <w:sz w:val="20"/>
          <w:color w:val="000000"/>
          <w:shd w:fill="FFFFFF" w:val="clear"/>
        </w:rPr>
        <w:t>）中标人应对售后</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保修服务内容做出详细说明，包括服务人员组成、服务体系、服务项目、服务方式、响应时间和到场时间等。</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5</w:t>
      </w:r>
      <w:r>
        <w:rPr>
          <w:rFonts w:ascii="仿宋_GB2312" w:hAnsi="仿宋_GB2312" w:cs="仿宋_GB2312" w:eastAsia="仿宋_GB2312"/>
          <w:sz w:val="20"/>
          <w:color w:val="000000"/>
          <w:shd w:fill="FFFFFF" w:val="clear"/>
        </w:rPr>
        <w:t>）投标人应响应本次采购售后服务要求并在投标文件中提供详细具体的售后服务条件及保证，也可视自身能力在投标文件中提供更优、更合理的售后服务承诺。</w:t>
      </w:r>
    </w:p>
    <w:p>
      <w:pPr>
        <w:pStyle w:val="null3"/>
        <w:ind w:firstLine="480"/>
        <w:jc w:val="left"/>
      </w:pPr>
      <w:r>
        <w:rPr>
          <w:rFonts w:ascii="仿宋_GB2312" w:hAnsi="仿宋_GB2312" w:cs="仿宋_GB2312" w:eastAsia="仿宋_GB2312"/>
          <w:sz w:val="20"/>
          <w:b/>
          <w:color w:val="000000"/>
          <w:shd w:fill="FFFFFF" w:val="clear"/>
        </w:rPr>
        <w:t>13</w:t>
      </w:r>
      <w:r>
        <w:rPr>
          <w:rFonts w:ascii="仿宋_GB2312" w:hAnsi="仿宋_GB2312" w:cs="仿宋_GB2312" w:eastAsia="仿宋_GB2312"/>
          <w:sz w:val="20"/>
          <w:b/>
          <w:color w:val="000000"/>
          <w:shd w:fill="FFFFFF" w:val="clear"/>
        </w:rPr>
        <w:t>、培训要求</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1</w:t>
      </w:r>
      <w:r>
        <w:rPr>
          <w:rFonts w:ascii="仿宋_GB2312" w:hAnsi="仿宋_GB2312" w:cs="仿宋_GB2312" w:eastAsia="仿宋_GB2312"/>
          <w:sz w:val="20"/>
          <w:color w:val="000000"/>
          <w:shd w:fill="FFFFFF" w:val="clear"/>
        </w:rPr>
        <w:t>）中标人应分析用户的整体培训需求，制定完整合理培训方案。</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2</w:t>
      </w:r>
      <w:r>
        <w:rPr>
          <w:rFonts w:ascii="仿宋_GB2312" w:hAnsi="仿宋_GB2312" w:cs="仿宋_GB2312" w:eastAsia="仿宋_GB2312"/>
          <w:sz w:val="20"/>
          <w:color w:val="000000"/>
          <w:shd w:fill="FFFFFF" w:val="clear"/>
        </w:rPr>
        <w:t>）中标人应根据项目特点，对采购人技术人员、管理人员进行专业培训，直至能独立操作。</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3</w:t>
      </w:r>
      <w:r>
        <w:rPr>
          <w:rFonts w:ascii="仿宋_GB2312" w:hAnsi="仿宋_GB2312" w:cs="仿宋_GB2312" w:eastAsia="仿宋_GB2312"/>
          <w:sz w:val="20"/>
          <w:color w:val="000000"/>
          <w:shd w:fill="FFFFFF" w:val="clear"/>
        </w:rPr>
        <w:t>）培训内容包括软件和硬件的操作培训</w:t>
      </w:r>
      <w:r>
        <w:rPr>
          <w:rFonts w:ascii="仿宋_GB2312" w:hAnsi="仿宋_GB2312" w:cs="仿宋_GB2312" w:eastAsia="仿宋_GB2312"/>
          <w:sz w:val="20"/>
          <w:color w:val="000000"/>
          <w:shd w:fill="FFFFFF" w:val="clear"/>
        </w:rPr>
        <w:t>和</w:t>
      </w:r>
      <w:r>
        <w:rPr>
          <w:rFonts w:ascii="仿宋_GB2312" w:hAnsi="仿宋_GB2312" w:cs="仿宋_GB2312" w:eastAsia="仿宋_GB2312"/>
          <w:sz w:val="20"/>
          <w:color w:val="000000"/>
          <w:shd w:fill="FFFFFF" w:val="clear"/>
        </w:rPr>
        <w:t>维护培训。</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4</w:t>
      </w:r>
      <w:r>
        <w:rPr>
          <w:rFonts w:ascii="仿宋_GB2312" w:hAnsi="仿宋_GB2312" w:cs="仿宋_GB2312" w:eastAsia="仿宋_GB2312"/>
          <w:sz w:val="20"/>
          <w:color w:val="000000"/>
          <w:shd w:fill="FFFFFF" w:val="clear"/>
        </w:rPr>
        <w:t>）培训方式包括集中培训和现场培训等，使采购人掌握基本的日常维护和对系统的独立操作、管理能力，确保系统能正常安全运行。</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5</w:t>
      </w:r>
      <w:r>
        <w:rPr>
          <w:rFonts w:ascii="仿宋_GB2312" w:hAnsi="仿宋_GB2312" w:cs="仿宋_GB2312" w:eastAsia="仿宋_GB2312"/>
          <w:sz w:val="20"/>
          <w:color w:val="000000"/>
          <w:shd w:fill="FFFFFF" w:val="clear"/>
        </w:rPr>
        <w:t>）在项目实施及质保期内，中标人须按用户要求提供充分的各类现场培训。</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6</w:t>
      </w:r>
      <w:r>
        <w:rPr>
          <w:rFonts w:ascii="仿宋_GB2312" w:hAnsi="仿宋_GB2312" w:cs="仿宋_GB2312" w:eastAsia="仿宋_GB2312"/>
          <w:sz w:val="20"/>
          <w:color w:val="000000"/>
          <w:shd w:fill="FFFFFF" w:val="clear"/>
        </w:rPr>
        <w:t>）中标人提供培训所需的资料、讲师、场地等相关费用，在投标时计入投标总价。</w:t>
      </w:r>
    </w:p>
    <w:p>
      <w:pPr>
        <w:pStyle w:val="null3"/>
        <w:ind w:firstLine="420"/>
        <w:jc w:val="left"/>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7</w:t>
      </w:r>
      <w:r>
        <w:rPr>
          <w:rFonts w:ascii="仿宋_GB2312" w:hAnsi="仿宋_GB2312" w:cs="仿宋_GB2312" w:eastAsia="仿宋_GB2312"/>
          <w:sz w:val="20"/>
          <w:color w:val="000000"/>
          <w:shd w:fill="FFFFFF" w:val="clear"/>
        </w:rPr>
        <w:t>）培训人数为</w:t>
      </w:r>
      <w:r>
        <w:rPr>
          <w:rFonts w:ascii="仿宋_GB2312" w:hAnsi="仿宋_GB2312" w:cs="仿宋_GB2312" w:eastAsia="仿宋_GB2312"/>
          <w:sz w:val="20"/>
          <w:color w:val="000000"/>
          <w:shd w:fill="FFFFFF" w:val="clear"/>
        </w:rPr>
        <w:t>3</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5</w:t>
      </w:r>
      <w:r>
        <w:rPr>
          <w:rFonts w:ascii="仿宋_GB2312" w:hAnsi="仿宋_GB2312" w:cs="仿宋_GB2312" w:eastAsia="仿宋_GB2312"/>
          <w:sz w:val="20"/>
          <w:color w:val="000000"/>
          <w:shd w:fill="FFFFFF" w:val="clear"/>
        </w:rPr>
        <w:t>人。具体培训事项待采购人与中标人签订合同时，由双方商定。</w:t>
      </w:r>
    </w:p>
    <w:p>
      <w:pPr>
        <w:pStyle w:val="null3"/>
        <w:ind w:firstLine="480"/>
        <w:jc w:val="left"/>
      </w:pPr>
      <w:r>
        <w:rPr>
          <w:rFonts w:ascii="仿宋_GB2312" w:hAnsi="仿宋_GB2312" w:cs="仿宋_GB2312" w:eastAsia="仿宋_GB2312"/>
          <w:sz w:val="20"/>
          <w:b/>
          <w:color w:val="000000"/>
          <w:shd w:fill="FFFFFF" w:val="clear"/>
        </w:rPr>
        <w:t>14</w:t>
      </w:r>
      <w:r>
        <w:rPr>
          <w:rFonts w:ascii="仿宋_GB2312" w:hAnsi="仿宋_GB2312" w:cs="仿宋_GB2312" w:eastAsia="仿宋_GB2312"/>
          <w:sz w:val="20"/>
          <w:b/>
          <w:color w:val="000000"/>
          <w:shd w:fill="FFFFFF" w:val="clear"/>
        </w:rPr>
        <w:t>、知识产权</w:t>
      </w:r>
    </w:p>
    <w:p>
      <w:pPr>
        <w:pStyle w:val="null3"/>
        <w:spacing w:before="75" w:after="75"/>
        <w:ind w:left="210" w:firstLine="420"/>
        <w:jc w:val="left"/>
      </w:pPr>
      <w:r>
        <w:rPr>
          <w:rFonts w:ascii="仿宋_GB2312" w:hAnsi="仿宋_GB2312" w:cs="仿宋_GB2312" w:eastAsia="仿宋_GB2312"/>
          <w:sz w:val="20"/>
          <w:color w:val="000000"/>
          <w:shd w:fill="FFFFFF" w:val="clear"/>
        </w:rPr>
        <w:t>投标人须保障采购人在使用该货物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w:t>
      </w:r>
    </w:p>
    <w:p>
      <w:pPr>
        <w:pStyle w:val="null3"/>
        <w:spacing w:before="75" w:after="75"/>
        <w:ind w:left="210" w:firstLine="420"/>
        <w:jc w:val="left"/>
      </w:pPr>
      <w:r>
        <w:rPr>
          <w:rFonts w:ascii="仿宋_GB2312" w:hAnsi="仿宋_GB2312" w:cs="仿宋_GB2312" w:eastAsia="仿宋_GB2312"/>
          <w:sz w:val="20"/>
          <w:b/>
          <w:color w:val="000000"/>
        </w:rPr>
        <w:t>15</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报价要求</w:t>
      </w:r>
    </w:p>
    <w:p>
      <w:pPr>
        <w:pStyle w:val="null3"/>
        <w:spacing w:before="75" w:after="75"/>
        <w:ind w:left="210" w:firstLine="420"/>
        <w:jc w:val="left"/>
      </w:pPr>
      <w:r>
        <w:rPr>
          <w:rFonts w:ascii="仿宋_GB2312" w:hAnsi="仿宋_GB2312" w:cs="仿宋_GB2312" w:eastAsia="仿宋_GB2312"/>
          <w:sz w:val="20"/>
          <w:color w:val="000000"/>
        </w:rPr>
        <w:t>15.1</w:t>
      </w:r>
      <w:r>
        <w:rPr>
          <w:rFonts w:ascii="仿宋_GB2312" w:hAnsi="仿宋_GB2312" w:cs="仿宋_GB2312" w:eastAsia="仿宋_GB2312"/>
          <w:sz w:val="20"/>
          <w:color w:val="000000"/>
        </w:rPr>
        <w:t>投标人报价超过最高限价将视为无效投标。</w:t>
      </w:r>
    </w:p>
    <w:p>
      <w:pPr>
        <w:pStyle w:val="null3"/>
        <w:spacing w:before="75" w:after="75"/>
        <w:ind w:left="210" w:firstLine="420"/>
        <w:jc w:val="left"/>
      </w:pPr>
      <w:r>
        <w:rPr>
          <w:rFonts w:ascii="仿宋_GB2312" w:hAnsi="仿宋_GB2312" w:cs="仿宋_GB2312" w:eastAsia="仿宋_GB2312"/>
          <w:sz w:val="20"/>
          <w:color w:val="000000"/>
        </w:rPr>
        <w:t>15.2</w:t>
      </w:r>
      <w:r>
        <w:rPr>
          <w:rFonts w:ascii="仿宋_GB2312" w:hAnsi="仿宋_GB2312" w:cs="仿宋_GB2312" w:eastAsia="仿宋_GB2312"/>
          <w:sz w:val="20"/>
          <w:color w:val="000000"/>
        </w:rPr>
        <w:t>报价以人民币为货币单位，应分单价、小计和总价，提供分项报价明细。若投标人在价格模块无法上传分项报价，则可在</w:t>
      </w:r>
      <w:r>
        <w:rPr>
          <w:rFonts w:ascii="仿宋_GB2312" w:hAnsi="仿宋_GB2312" w:cs="仿宋_GB2312" w:eastAsia="仿宋_GB2312"/>
          <w:sz w:val="20"/>
          <w:color w:val="000000"/>
        </w:rPr>
        <w:t>"</w:t>
      </w:r>
      <w:r>
        <w:rPr>
          <w:rFonts w:ascii="仿宋_GB2312" w:hAnsi="仿宋_GB2312" w:cs="仿宋_GB2312" w:eastAsia="仿宋_GB2312"/>
          <w:sz w:val="20"/>
          <w:color w:val="000000"/>
        </w:rPr>
        <w:t>节能、环境标志产品</w:t>
      </w:r>
      <w:r>
        <w:rPr>
          <w:rFonts w:ascii="仿宋_GB2312" w:hAnsi="仿宋_GB2312" w:cs="仿宋_GB2312" w:eastAsia="仿宋_GB2312"/>
          <w:sz w:val="20"/>
          <w:color w:val="000000"/>
        </w:rPr>
        <w:t>"</w:t>
      </w:r>
      <w:r>
        <w:rPr>
          <w:rFonts w:ascii="仿宋_GB2312" w:hAnsi="仿宋_GB2312" w:cs="仿宋_GB2312" w:eastAsia="仿宋_GB2312"/>
          <w:sz w:val="20"/>
          <w:color w:val="000000"/>
        </w:rPr>
        <w:t>模块上传分项报价）。</w:t>
      </w:r>
    </w:p>
    <w:p>
      <w:pPr>
        <w:pStyle w:val="null3"/>
        <w:spacing w:before="75" w:after="75"/>
        <w:ind w:left="210" w:firstLine="420"/>
        <w:jc w:val="left"/>
      </w:pPr>
      <w:r>
        <w:rPr>
          <w:rFonts w:ascii="仿宋_GB2312" w:hAnsi="仿宋_GB2312" w:cs="仿宋_GB2312" w:eastAsia="仿宋_GB2312"/>
          <w:sz w:val="20"/>
          <w:color w:val="000000"/>
        </w:rPr>
        <w:t>15.3</w:t>
      </w:r>
      <w:r>
        <w:rPr>
          <w:rFonts w:ascii="仿宋_GB2312" w:hAnsi="仿宋_GB2312" w:cs="仿宋_GB2312" w:eastAsia="仿宋_GB2312"/>
          <w:sz w:val="20"/>
          <w:color w:val="000000"/>
        </w:rPr>
        <w:t>中标人应根据采购人指定的地点提供送货、安装、调试、培训及售后服务，质保期内所有相关服务费用均应列入投标总价。</w:t>
      </w:r>
    </w:p>
    <w:p>
      <w:pPr>
        <w:pStyle w:val="null3"/>
        <w:spacing w:before="75" w:after="75"/>
        <w:ind w:left="210" w:firstLine="420"/>
        <w:jc w:val="left"/>
      </w:pPr>
      <w:r>
        <w:rPr>
          <w:rFonts w:ascii="仿宋_GB2312" w:hAnsi="仿宋_GB2312" w:cs="仿宋_GB2312" w:eastAsia="仿宋_GB2312"/>
          <w:sz w:val="20"/>
          <w:color w:val="000000"/>
        </w:rPr>
        <w:t>15.4</w:t>
      </w:r>
      <w:r>
        <w:rPr>
          <w:rFonts w:ascii="仿宋_GB2312" w:hAnsi="仿宋_GB2312" w:cs="仿宋_GB2312" w:eastAsia="仿宋_GB2312"/>
          <w:sz w:val="20"/>
          <w:color w:val="000000"/>
        </w:rPr>
        <w:t>投标总报价为货物送达采购人指定地点及安装调试，经采购人验收合格所发生的一切费用，其包括货物运输、采购保管、安装调试、产品检验检测、主材及辅材费、施工费、垃圾清运费、人工费、机械使用费、企业管理费、利润、税费、保险及售后服务等一切可能产生的费用。投标人应自行核算项目正常、合法运作及使用所必需的费用。</w:t>
      </w:r>
    </w:p>
    <w:p>
      <w:pPr>
        <w:pStyle w:val="null3"/>
        <w:spacing w:before="75" w:after="75"/>
        <w:ind w:left="210" w:firstLine="420"/>
        <w:jc w:val="left"/>
      </w:pPr>
      <w:r>
        <w:rPr>
          <w:rFonts w:ascii="仿宋_GB2312" w:hAnsi="仿宋_GB2312" w:cs="仿宋_GB2312" w:eastAsia="仿宋_GB2312"/>
          <w:sz w:val="20"/>
          <w:color w:val="000000"/>
        </w:rPr>
        <w:t>15.5</w:t>
      </w:r>
      <w:r>
        <w:rPr>
          <w:rFonts w:ascii="仿宋_GB2312" w:hAnsi="仿宋_GB2312" w:cs="仿宋_GB2312" w:eastAsia="仿宋_GB2312"/>
          <w:sz w:val="20"/>
          <w:color w:val="000000"/>
        </w:rPr>
        <w:t>清单有错、漏或不</w:t>
      </w:r>
      <w:r>
        <w:rPr>
          <w:rFonts w:ascii="仿宋_GB2312" w:hAnsi="仿宋_GB2312" w:cs="仿宋_GB2312" w:eastAsia="仿宋_GB2312"/>
          <w:sz w:val="20"/>
          <w:color w:val="000000"/>
        </w:rPr>
        <w:t>完整</w:t>
      </w:r>
      <w:r>
        <w:rPr>
          <w:rFonts w:ascii="仿宋_GB2312" w:hAnsi="仿宋_GB2312" w:cs="仿宋_GB2312" w:eastAsia="仿宋_GB2312"/>
          <w:sz w:val="20"/>
          <w:color w:val="000000"/>
        </w:rPr>
        <w:t>准确的，投标人应自行补齐，确保项目能够正常运作、顺利投入使用。投标人漏报的单价或每单价报价中漏报、少报的费用，视为此项费用已隐含在报价中，中标后不得再向采购人收取任何费用。</w:t>
      </w:r>
    </w:p>
    <w:p>
      <w:pPr>
        <w:pStyle w:val="null3"/>
        <w:spacing w:before="75" w:after="75"/>
        <w:ind w:left="210" w:firstLine="420"/>
        <w:jc w:val="left"/>
      </w:pPr>
      <w:r>
        <w:rPr>
          <w:rFonts w:ascii="仿宋_GB2312" w:hAnsi="仿宋_GB2312" w:cs="仿宋_GB2312" w:eastAsia="仿宋_GB2312"/>
          <w:sz w:val="20"/>
          <w:color w:val="000000"/>
        </w:rPr>
        <w:t>15.6</w:t>
      </w:r>
      <w:r>
        <w:rPr>
          <w:rFonts w:ascii="仿宋_GB2312" w:hAnsi="仿宋_GB2312" w:cs="仿宋_GB2312" w:eastAsia="仿宋_GB2312"/>
          <w:sz w:val="20"/>
          <w:color w:val="000000"/>
        </w:rPr>
        <w:t>中标人应按采购人需求进行安装及调试，负责完成本项目的相关优化调整，费用包含在投标报价中。</w:t>
      </w:r>
    </w:p>
    <w:p>
      <w:pPr>
        <w:pStyle w:val="null3"/>
        <w:spacing w:before="75" w:after="75"/>
        <w:ind w:left="210" w:firstLine="420"/>
        <w:jc w:val="left"/>
      </w:pPr>
      <w:r>
        <w:rPr>
          <w:rFonts w:ascii="仿宋_GB2312" w:hAnsi="仿宋_GB2312" w:cs="仿宋_GB2312" w:eastAsia="仿宋_GB2312"/>
          <w:sz w:val="20"/>
          <w:color w:val="000000"/>
        </w:rPr>
        <w:t>15.7</w:t>
      </w:r>
      <w:r>
        <w:rPr>
          <w:rFonts w:ascii="仿宋_GB2312" w:hAnsi="仿宋_GB2312" w:cs="仿宋_GB2312" w:eastAsia="仿宋_GB2312"/>
          <w:sz w:val="20"/>
          <w:color w:val="000000"/>
        </w:rPr>
        <w:t>投标人对本项目只能有一个报价，采购单位不接受有选择的报价。</w:t>
      </w:r>
    </w:p>
    <w:p>
      <w:pPr>
        <w:pStyle w:val="null3"/>
        <w:spacing w:before="75" w:after="75"/>
        <w:ind w:left="210" w:firstLine="420"/>
        <w:jc w:val="left"/>
      </w:pPr>
      <w:r>
        <w:rPr>
          <w:rFonts w:ascii="仿宋_GB2312" w:hAnsi="仿宋_GB2312" w:cs="仿宋_GB2312" w:eastAsia="仿宋_GB2312"/>
          <w:sz w:val="20"/>
          <w:color w:val="000000"/>
        </w:rPr>
        <w:t>15.</w:t>
      </w:r>
      <w:r>
        <w:rPr>
          <w:rFonts w:ascii="仿宋_GB2312" w:hAnsi="仿宋_GB2312" w:cs="仿宋_GB2312" w:eastAsia="仿宋_GB2312"/>
          <w:sz w:val="20"/>
          <w:color w:val="000000"/>
        </w:rPr>
        <w:t>8</w:t>
      </w:r>
      <w:r>
        <w:rPr>
          <w:rFonts w:ascii="仿宋_GB2312" w:hAnsi="仿宋_GB2312" w:cs="仿宋_GB2312" w:eastAsia="仿宋_GB2312"/>
          <w:sz w:val="20"/>
          <w:color w:val="000000"/>
        </w:rPr>
        <w:t>评标委员会认为投标人的报价明显低于其他通过符合性审查投标人的报价，有可能影响产品质量或不能诚信履约的，将要求其在评标现场合理的时间内提供书面说明，必要时还将要求其提交有关证明材料；投标人不能证明其报价合理性的，评标委员会可将其作为投标无效处理。【说明：本项目采用远程交易模式，经评标委员会确认为上述低价情形需提交相关证明材料的，评标委员会在系统中发起“价格澄清”，投标人应在系统要求的时限内在系统中响应，提交澄清说明或上传有关证明材料。投标人应考虑低价可能出现的上述情形，提前按采购文件规定准备好相关材料、携带CA及可上网的电脑，全程实时关注福建省政府采购网厦门市分网的在线评审大厅。若未在系统要求的时限内响应的，投标人需自行承担相关责任】</w:t>
      </w:r>
    </w:p>
    <w:p>
      <w:pPr>
        <w:pStyle w:val="null3"/>
        <w:spacing w:before="75" w:after="75"/>
        <w:ind w:left="210" w:firstLine="420"/>
        <w:jc w:val="left"/>
      </w:pPr>
      <w:r>
        <w:rPr>
          <w:rFonts w:ascii="仿宋_GB2312" w:hAnsi="仿宋_GB2312" w:cs="仿宋_GB2312" w:eastAsia="仿宋_GB2312"/>
          <w:sz w:val="20"/>
          <w:b/>
          <w:color w:val="000000"/>
        </w:rPr>
        <w:t>16</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合同签订</w:t>
      </w:r>
    </w:p>
    <w:p>
      <w:pPr>
        <w:pStyle w:val="null3"/>
        <w:spacing w:before="75" w:after="75"/>
        <w:ind w:left="210" w:firstLine="420"/>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1</w:t>
      </w:r>
      <w:r>
        <w:rPr>
          <w:rFonts w:ascii="仿宋_GB2312" w:hAnsi="仿宋_GB2312" w:cs="仿宋_GB2312" w:eastAsia="仿宋_GB2312"/>
          <w:sz w:val="20"/>
          <w:color w:val="000000"/>
        </w:rPr>
        <w:t>中标人未在规定时间内签订合同或未缴交履约保证金，可视为放弃中标资格，依照《中华人民共和国政府采购法》等国家有关规定及合同条款追究相应责任。</w:t>
      </w:r>
    </w:p>
    <w:p>
      <w:pPr>
        <w:pStyle w:val="null3"/>
        <w:spacing w:before="75" w:after="75"/>
        <w:ind w:left="210" w:firstLine="420"/>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2</w:t>
      </w:r>
      <w:r>
        <w:rPr>
          <w:rFonts w:ascii="仿宋_GB2312" w:hAnsi="仿宋_GB2312" w:cs="仿宋_GB2312" w:eastAsia="仿宋_GB2312"/>
          <w:sz w:val="20"/>
          <w:color w:val="000000"/>
        </w:rPr>
        <w:t>采购人在合同签订前，将通过“国家企业信用公示信息系统”查询中标人的信用记录，若发现供应商在近三年存在重大违法记录的，将进行核实并向政府采购监管部门提请监督检查。如核查发现中标人确实存在重大违法记录情形的，将按政府采购相关规定执行。</w:t>
      </w:r>
    </w:p>
    <w:p>
      <w:pPr>
        <w:pStyle w:val="null3"/>
        <w:spacing w:before="75" w:after="75"/>
        <w:ind w:left="210" w:firstLine="420"/>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3</w:t>
      </w:r>
      <w:r>
        <w:rPr>
          <w:rFonts w:ascii="仿宋_GB2312" w:hAnsi="仿宋_GB2312" w:cs="仿宋_GB2312" w:eastAsia="仿宋_GB2312"/>
          <w:sz w:val="20"/>
          <w:color w:val="000000"/>
        </w:rPr>
        <w:t>中标人在福建省政府采购信息系统发起合同流程，签订“电子合同”，合同应在规定时间内在福建省政府采购信息系统公告。</w:t>
      </w:r>
    </w:p>
    <w:p>
      <w:pPr>
        <w:pStyle w:val="null3"/>
        <w:spacing w:before="75" w:after="75"/>
        <w:ind w:left="210" w:firstLine="420"/>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4</w:t>
      </w:r>
      <w:r>
        <w:rPr>
          <w:rFonts w:ascii="仿宋_GB2312" w:hAnsi="仿宋_GB2312" w:cs="仿宋_GB2312" w:eastAsia="仿宋_GB2312"/>
          <w:sz w:val="20"/>
          <w:color w:val="000000"/>
        </w:rPr>
        <w:t>如中标人不能按时缴交履约保证金或不能按时签订合同或不能履行合同，或发生了本项目约定的可解除合同的违约事项时，采购人有权取消其中标资格（已签订合同的可终止合同），合格供应商符合法定数量时，可以从合格中标候选人中另行确定中标人，并按有关规定对原中标人进行处罚。</w:t>
      </w:r>
    </w:p>
    <w:p>
      <w:pPr>
        <w:pStyle w:val="null3"/>
        <w:ind w:firstLine="480"/>
        <w:jc w:val="left"/>
      </w:pPr>
      <w:r>
        <w:rPr>
          <w:rFonts w:ascii="仿宋_GB2312" w:hAnsi="仿宋_GB2312" w:cs="仿宋_GB2312" w:eastAsia="仿宋_GB2312"/>
          <w:sz w:val="20"/>
          <w:b/>
          <w:color w:val="000000"/>
        </w:rPr>
        <w:t>17</w:t>
      </w:r>
      <w:r>
        <w:rPr>
          <w:rFonts w:ascii="仿宋_GB2312" w:hAnsi="仿宋_GB2312" w:cs="仿宋_GB2312" w:eastAsia="仿宋_GB2312"/>
          <w:sz w:val="20"/>
          <w:b/>
          <w:color w:val="000000"/>
        </w:rPr>
        <w:t>、其他事项</w:t>
      </w:r>
    </w:p>
    <w:p>
      <w:pPr>
        <w:pStyle w:val="null3"/>
        <w:spacing w:before="75" w:after="75"/>
        <w:ind w:left="210" w:firstLine="420"/>
        <w:jc w:val="left"/>
      </w:pPr>
      <w:r>
        <w:rPr>
          <w:rFonts w:ascii="仿宋_GB2312" w:hAnsi="仿宋_GB2312" w:cs="仿宋_GB2312" w:eastAsia="仿宋_GB2312"/>
          <w:sz w:val="20"/>
          <w:color w:val="000000"/>
        </w:rPr>
        <w:t>17.1若</w:t>
      </w:r>
      <w:r>
        <w:rPr>
          <w:rFonts w:ascii="仿宋_GB2312" w:hAnsi="仿宋_GB2312" w:cs="仿宋_GB2312" w:eastAsia="仿宋_GB2312"/>
          <w:sz w:val="20"/>
          <w:color w:val="000000"/>
        </w:rPr>
        <w:t>投标人选择提供资信证明的，取消提供开户许可证的要求，应提供</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w:t>
      </w:r>
      <w:r>
        <w:rPr>
          <w:rFonts w:ascii="仿宋_GB2312" w:hAnsi="仿宋_GB2312" w:cs="仿宋_GB2312" w:eastAsia="仿宋_GB2312"/>
          <w:sz w:val="20"/>
          <w:color w:val="000000"/>
        </w:rPr>
        <w:t>1</w:t>
      </w:r>
      <w:r>
        <w:rPr>
          <w:rFonts w:ascii="仿宋_GB2312" w:hAnsi="仿宋_GB2312" w:cs="仿宋_GB2312" w:eastAsia="仿宋_GB2312"/>
          <w:sz w:val="20"/>
          <w:color w:val="000000"/>
        </w:rPr>
        <w:t>月</w:t>
      </w:r>
      <w:r>
        <w:rPr>
          <w:rFonts w:ascii="仿宋_GB2312" w:hAnsi="仿宋_GB2312" w:cs="仿宋_GB2312" w:eastAsia="仿宋_GB2312"/>
          <w:sz w:val="20"/>
          <w:color w:val="000000"/>
        </w:rPr>
        <w:t>1</w:t>
      </w:r>
      <w:r>
        <w:rPr>
          <w:rFonts w:ascii="仿宋_GB2312" w:hAnsi="仿宋_GB2312" w:cs="仿宋_GB2312" w:eastAsia="仿宋_GB2312"/>
          <w:sz w:val="20"/>
          <w:color w:val="000000"/>
        </w:rPr>
        <w:t>日以来开户银行出具的资信证明复印件（若资信证明备注有效期的，必须在有效期内，否则为无效资信证明）。</w:t>
      </w:r>
    </w:p>
    <w:p>
      <w:pPr>
        <w:pStyle w:val="null3"/>
        <w:spacing w:before="75" w:after="75"/>
        <w:ind w:left="210" w:firstLine="420"/>
        <w:jc w:val="left"/>
      </w:pPr>
      <w:r>
        <w:rPr>
          <w:rFonts w:ascii="仿宋_GB2312" w:hAnsi="仿宋_GB2312" w:cs="仿宋_GB2312" w:eastAsia="仿宋_GB2312"/>
          <w:sz w:val="20"/>
          <w:color w:val="000000"/>
        </w:rPr>
        <w:t>17.2</w:t>
      </w:r>
      <w:r>
        <w:rPr>
          <w:rFonts w:ascii="仿宋_GB2312" w:hAnsi="仿宋_GB2312" w:cs="仿宋_GB2312" w:eastAsia="仿宋_GB2312"/>
          <w:sz w:val="20"/>
          <w:color w:val="000000"/>
        </w:rPr>
        <w:t>资格条款中涉及提供经审计的上一年度的年度财务报告的，投标人可选择提供经审计的</w:t>
      </w:r>
      <w:r>
        <w:rPr>
          <w:rFonts w:ascii="仿宋_GB2312" w:hAnsi="仿宋_GB2312" w:cs="仿宋_GB2312" w:eastAsia="仿宋_GB2312"/>
          <w:sz w:val="20"/>
          <w:color w:val="000000"/>
        </w:rPr>
        <w:t>2023</w:t>
      </w:r>
      <w:r>
        <w:rPr>
          <w:rFonts w:ascii="仿宋_GB2312" w:hAnsi="仿宋_GB2312" w:cs="仿宋_GB2312" w:eastAsia="仿宋_GB2312"/>
          <w:sz w:val="20"/>
          <w:color w:val="000000"/>
        </w:rPr>
        <w:t>年或</w:t>
      </w:r>
      <w:r>
        <w:rPr>
          <w:rFonts w:ascii="仿宋_GB2312" w:hAnsi="仿宋_GB2312" w:cs="仿宋_GB2312" w:eastAsia="仿宋_GB2312"/>
          <w:sz w:val="20"/>
          <w:color w:val="000000"/>
        </w:rPr>
        <w:t>2024</w:t>
      </w:r>
      <w:r>
        <w:rPr>
          <w:rFonts w:ascii="仿宋_GB2312" w:hAnsi="仿宋_GB2312" w:cs="仿宋_GB2312" w:eastAsia="仿宋_GB2312"/>
          <w:sz w:val="20"/>
          <w:color w:val="000000"/>
        </w:rPr>
        <w:t>年的年度财务报告。</w:t>
      </w:r>
    </w:p>
    <w:p>
      <w:pPr>
        <w:pStyle w:val="null3"/>
        <w:spacing w:before="75" w:after="75"/>
        <w:ind w:left="210" w:firstLine="420"/>
        <w:jc w:val="left"/>
      </w:pPr>
      <w:r>
        <w:rPr>
          <w:rFonts w:ascii="仿宋_GB2312" w:hAnsi="仿宋_GB2312" w:cs="仿宋_GB2312" w:eastAsia="仿宋_GB2312"/>
          <w:sz w:val="20"/>
          <w:color w:val="000000"/>
        </w:rPr>
        <w:t>17.3</w:t>
      </w:r>
      <w:r>
        <w:rPr>
          <w:rFonts w:ascii="仿宋_GB2312" w:hAnsi="仿宋_GB2312" w:cs="仿宋_GB2312" w:eastAsia="仿宋_GB2312"/>
          <w:sz w:val="20"/>
          <w:color w:val="000000"/>
        </w:rPr>
        <w:t>投标人应仔细阅读招标文件各项要求，未按照招标文件规定完整提交投标人的资格证明文件的，将不能通过资格审查，为无效投标。</w:t>
      </w:r>
    </w:p>
    <w:p>
      <w:pPr>
        <w:pStyle w:val="null3"/>
        <w:spacing w:before="75" w:after="75"/>
        <w:ind w:left="210" w:firstLine="420"/>
        <w:jc w:val="left"/>
      </w:pPr>
      <w:r>
        <w:rPr>
          <w:rFonts w:ascii="仿宋_GB2312" w:hAnsi="仿宋_GB2312" w:cs="仿宋_GB2312" w:eastAsia="仿宋_GB2312"/>
          <w:sz w:val="20"/>
          <w:color w:val="000000"/>
        </w:rPr>
        <w:t>17.4</w:t>
      </w:r>
      <w:r>
        <w:rPr>
          <w:rFonts w:ascii="仿宋_GB2312" w:hAnsi="仿宋_GB2312" w:cs="仿宋_GB2312" w:eastAsia="仿宋_GB2312"/>
          <w:sz w:val="20"/>
          <w:color w:val="000000"/>
        </w:rPr>
        <w:t>若本项目涉及商品包装和快递包装的，投标人应承诺投标产品的商品包装和快递包装符合《财政部办公厅、生态环境部办公厅、国家邮政局办公室关于印发</w:t>
      </w:r>
      <w:r>
        <w:rPr>
          <w:rFonts w:ascii="仿宋_GB2312" w:hAnsi="仿宋_GB2312" w:cs="仿宋_GB2312" w:eastAsia="仿宋_GB2312"/>
          <w:sz w:val="20"/>
          <w:color w:val="000000"/>
        </w:rPr>
        <w:t>&lt;</w:t>
      </w:r>
      <w:r>
        <w:rPr>
          <w:rFonts w:ascii="仿宋_GB2312" w:hAnsi="仿宋_GB2312" w:cs="仿宋_GB2312" w:eastAsia="仿宋_GB2312"/>
          <w:sz w:val="20"/>
          <w:color w:val="000000"/>
        </w:rPr>
        <w:t>商品包装政府采购需求标准（试行）</w:t>
      </w:r>
      <w:r>
        <w:rPr>
          <w:rFonts w:ascii="仿宋_GB2312" w:hAnsi="仿宋_GB2312" w:cs="仿宋_GB2312" w:eastAsia="仿宋_GB2312"/>
          <w:sz w:val="20"/>
          <w:color w:val="000000"/>
        </w:rPr>
        <w:t>&gt;</w:t>
      </w:r>
      <w:r>
        <w:rPr>
          <w:rFonts w:ascii="仿宋_GB2312" w:hAnsi="仿宋_GB2312" w:cs="仿宋_GB2312" w:eastAsia="仿宋_GB2312"/>
          <w:sz w:val="20"/>
          <w:color w:val="000000"/>
        </w:rPr>
        <w:t>、</w:t>
      </w:r>
      <w:r>
        <w:rPr>
          <w:rFonts w:ascii="仿宋_GB2312" w:hAnsi="仿宋_GB2312" w:cs="仿宋_GB2312" w:eastAsia="仿宋_GB2312"/>
          <w:sz w:val="20"/>
          <w:color w:val="000000"/>
        </w:rPr>
        <w:t>&lt;</w:t>
      </w:r>
      <w:r>
        <w:rPr>
          <w:rFonts w:ascii="仿宋_GB2312" w:hAnsi="仿宋_GB2312" w:cs="仿宋_GB2312" w:eastAsia="仿宋_GB2312"/>
          <w:sz w:val="20"/>
          <w:color w:val="000000"/>
        </w:rPr>
        <w:t>快递包装政府采购需求标准（试行）</w:t>
      </w:r>
      <w:r>
        <w:rPr>
          <w:rFonts w:ascii="仿宋_GB2312" w:hAnsi="仿宋_GB2312" w:cs="仿宋_GB2312" w:eastAsia="仿宋_GB2312"/>
          <w:sz w:val="20"/>
          <w:color w:val="000000"/>
        </w:rPr>
        <w:t>&gt;</w:t>
      </w:r>
      <w:r>
        <w:rPr>
          <w:rFonts w:ascii="仿宋_GB2312" w:hAnsi="仿宋_GB2312" w:cs="仿宋_GB2312" w:eastAsia="仿宋_GB2312"/>
          <w:sz w:val="20"/>
          <w:color w:val="000000"/>
        </w:rPr>
        <w:t>的通知》（财办库〔</w:t>
      </w:r>
      <w:r>
        <w:rPr>
          <w:rFonts w:ascii="仿宋_GB2312" w:hAnsi="仿宋_GB2312" w:cs="仿宋_GB2312" w:eastAsia="仿宋_GB2312"/>
          <w:sz w:val="20"/>
          <w:color w:val="000000"/>
        </w:rPr>
        <w:t>2020</w:t>
      </w:r>
      <w:r>
        <w:rPr>
          <w:rFonts w:ascii="仿宋_GB2312" w:hAnsi="仿宋_GB2312" w:cs="仿宋_GB2312" w:eastAsia="仿宋_GB2312"/>
          <w:sz w:val="20"/>
          <w:color w:val="000000"/>
        </w:rPr>
        <w:t>〕</w:t>
      </w:r>
      <w:r>
        <w:rPr>
          <w:rFonts w:ascii="仿宋_GB2312" w:hAnsi="仿宋_GB2312" w:cs="仿宋_GB2312" w:eastAsia="仿宋_GB2312"/>
          <w:sz w:val="20"/>
          <w:color w:val="000000"/>
        </w:rPr>
        <w:t>123</w:t>
      </w:r>
      <w:r>
        <w:rPr>
          <w:rFonts w:ascii="仿宋_GB2312" w:hAnsi="仿宋_GB2312" w:cs="仿宋_GB2312" w:eastAsia="仿宋_GB2312"/>
          <w:sz w:val="20"/>
          <w:color w:val="000000"/>
        </w:rPr>
        <w:t>号）文件要求。</w:t>
      </w:r>
    </w:p>
    <w:p>
      <w:pPr>
        <w:pStyle w:val="null3"/>
        <w:spacing w:before="75" w:after="75"/>
        <w:ind w:left="210" w:firstLine="420"/>
        <w:jc w:val="left"/>
      </w:pPr>
      <w:r>
        <w:rPr>
          <w:rFonts w:ascii="仿宋_GB2312" w:hAnsi="仿宋_GB2312" w:cs="仿宋_GB2312" w:eastAsia="仿宋_GB2312"/>
          <w:sz w:val="20"/>
          <w:color w:val="000000"/>
        </w:rPr>
        <w:t>17.5</w:t>
      </w:r>
      <w:r>
        <w:rPr>
          <w:rFonts w:ascii="仿宋_GB2312" w:hAnsi="仿宋_GB2312" w:cs="仿宋_GB2312" w:eastAsia="仿宋_GB2312"/>
          <w:sz w:val="20"/>
          <w:color w:val="000000"/>
        </w:rPr>
        <w:t>本项目支持供应商合同融资，具体相关政策参见《关于促进中小企业政府采购合同融资健康开展的通知》（闽财购函〔</w:t>
      </w:r>
      <w:r>
        <w:rPr>
          <w:rFonts w:ascii="仿宋_GB2312" w:hAnsi="仿宋_GB2312" w:cs="仿宋_GB2312" w:eastAsia="仿宋_GB2312"/>
          <w:sz w:val="20"/>
          <w:color w:val="000000"/>
        </w:rPr>
        <w:t>2019</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16 </w:t>
      </w:r>
      <w:r>
        <w:rPr>
          <w:rFonts w:ascii="仿宋_GB2312" w:hAnsi="仿宋_GB2312" w:cs="仿宋_GB2312" w:eastAsia="仿宋_GB2312"/>
          <w:sz w:val="20"/>
          <w:color w:val="000000"/>
        </w:rPr>
        <w:t>号）和《关于印发</w:t>
      </w:r>
      <w:r>
        <w:rPr>
          <w:rFonts w:ascii="仿宋_GB2312" w:hAnsi="仿宋_GB2312" w:cs="仿宋_GB2312" w:eastAsia="仿宋_GB2312"/>
          <w:sz w:val="20"/>
          <w:color w:val="000000"/>
        </w:rPr>
        <w:t>&lt;</w:t>
      </w:r>
      <w:r>
        <w:rPr>
          <w:rFonts w:ascii="仿宋_GB2312" w:hAnsi="仿宋_GB2312" w:cs="仿宋_GB2312" w:eastAsia="仿宋_GB2312"/>
          <w:sz w:val="20"/>
          <w:color w:val="000000"/>
        </w:rPr>
        <w:t>福建省支持中小企业政府采购合同融资暂行办法</w:t>
      </w:r>
      <w:r>
        <w:rPr>
          <w:rFonts w:ascii="仿宋_GB2312" w:hAnsi="仿宋_GB2312" w:cs="仿宋_GB2312" w:eastAsia="仿宋_GB2312"/>
          <w:sz w:val="20"/>
          <w:color w:val="000000"/>
        </w:rPr>
        <w:t>&gt;</w:t>
      </w:r>
      <w:r>
        <w:rPr>
          <w:rFonts w:ascii="仿宋_GB2312" w:hAnsi="仿宋_GB2312" w:cs="仿宋_GB2312" w:eastAsia="仿宋_GB2312"/>
          <w:sz w:val="20"/>
          <w:color w:val="000000"/>
        </w:rPr>
        <w:t>的通知（闽财购〔</w:t>
      </w:r>
      <w:r>
        <w:rPr>
          <w:rFonts w:ascii="仿宋_GB2312" w:hAnsi="仿宋_GB2312" w:cs="仿宋_GB2312" w:eastAsia="仿宋_GB2312"/>
          <w:sz w:val="20"/>
          <w:color w:val="000000"/>
        </w:rPr>
        <w:t>2018</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7 </w:t>
      </w:r>
      <w:r>
        <w:rPr>
          <w:rFonts w:ascii="仿宋_GB2312" w:hAnsi="仿宋_GB2312" w:cs="仿宋_GB2312" w:eastAsia="仿宋_GB2312"/>
          <w:sz w:val="20"/>
          <w:color w:val="000000"/>
        </w:rPr>
        <w:t>号）。</w:t>
      </w:r>
    </w:p>
    <w:p>
      <w:pPr>
        <w:pStyle w:val="null3"/>
        <w:spacing w:before="75" w:after="75"/>
        <w:ind w:left="210" w:firstLine="420"/>
        <w:jc w:val="left"/>
      </w:pPr>
      <w:r>
        <w:rPr>
          <w:rFonts w:ascii="仿宋_GB2312" w:hAnsi="仿宋_GB2312" w:cs="仿宋_GB2312" w:eastAsia="仿宋_GB2312"/>
          <w:sz w:val="20"/>
          <w:color w:val="000000"/>
        </w:rPr>
        <w:t>17.6</w:t>
      </w:r>
      <w:r>
        <w:rPr>
          <w:rFonts w:ascii="仿宋_GB2312" w:hAnsi="仿宋_GB2312" w:cs="仿宋_GB2312" w:eastAsia="仿宋_GB2312"/>
          <w:sz w:val="20"/>
          <w:color w:val="000000"/>
        </w:rPr>
        <w:t>本项目招标文件要求的投标响应材料，若属于可以通过互联网或者相关信息系统查询的信息，投标人在投标文件中提供相应的互联网或者相关信息系统的查询网址或查询方式后，不再需要提供此类投标响应材料。投标人对所提供的查询网址或查询方式的有效性和真实性负责。</w:t>
      </w:r>
    </w:p>
    <w:p>
      <w:pPr>
        <w:pStyle w:val="null3"/>
        <w:spacing w:before="75" w:after="75"/>
        <w:ind w:left="210" w:firstLine="420"/>
        <w:jc w:val="left"/>
      </w:pPr>
      <w:r>
        <w:rPr>
          <w:rFonts w:ascii="仿宋_GB2312" w:hAnsi="仿宋_GB2312" w:cs="仿宋_GB2312" w:eastAsia="仿宋_GB2312"/>
          <w:sz w:val="20"/>
          <w:color w:val="000000"/>
        </w:rPr>
        <w:t>17.7</w:t>
      </w:r>
      <w:r>
        <w:rPr>
          <w:rFonts w:ascii="仿宋_GB2312" w:hAnsi="仿宋_GB2312" w:cs="仿宋_GB2312" w:eastAsia="仿宋_GB2312"/>
          <w:sz w:val="20"/>
          <w:color w:val="000000"/>
        </w:rPr>
        <w:t>本项目采用线上交易模式，投标人可到开标现场，也可不到开标现场，由投标人自行决定。投标人选择到开标现场开标的，请在系统规定时间内将</w:t>
      </w:r>
      <w:r>
        <w:rPr>
          <w:rFonts w:ascii="仿宋_GB2312" w:hAnsi="仿宋_GB2312" w:cs="仿宋_GB2312" w:eastAsia="仿宋_GB2312"/>
          <w:sz w:val="20"/>
          <w:color w:val="000000"/>
        </w:rPr>
        <w:t>CA</w:t>
      </w:r>
      <w:r>
        <w:rPr>
          <w:rFonts w:ascii="仿宋_GB2312" w:hAnsi="仿宋_GB2312" w:cs="仿宋_GB2312" w:eastAsia="仿宋_GB2312"/>
          <w:sz w:val="20"/>
          <w:color w:val="000000"/>
        </w:rPr>
        <w:t>证书送达厦门市行政服务中心</w:t>
      </w:r>
      <w:r>
        <w:rPr>
          <w:rFonts w:ascii="仿宋_GB2312" w:hAnsi="仿宋_GB2312" w:cs="仿宋_GB2312" w:eastAsia="仿宋_GB2312"/>
          <w:sz w:val="20"/>
          <w:color w:val="000000"/>
        </w:rPr>
        <w:t>4</w:t>
      </w:r>
      <w:r>
        <w:rPr>
          <w:rFonts w:ascii="仿宋_GB2312" w:hAnsi="仿宋_GB2312" w:cs="仿宋_GB2312" w:eastAsia="仿宋_GB2312"/>
          <w:sz w:val="20"/>
          <w:color w:val="000000"/>
        </w:rPr>
        <w:t>层本项目指定开标厅进行解密及签章。投标人不到开标现场的，请在福建省政府采购网下载《供应商操作手册》，提前熟悉线上操作及开评标流程，在开标时自备电脑登录采购系统（确保自身设施、设备、网络状况良好），线上观看开标过程，并按要求在解密规定时间内对投标文件进行远程解密、远程签章。投标人在系统规定解密时间内未解密的视为放弃投标；唱标结束，投标人应在系统规定时间内对开标结果进行签章确认，逾期未签章的视同认可开标过程及开标结果。</w:t>
      </w:r>
    </w:p>
    <w:p>
      <w:pPr>
        <w:pStyle w:val="null3"/>
        <w:spacing w:before="75" w:after="75"/>
        <w:ind w:left="210" w:firstLine="420"/>
        <w:jc w:val="left"/>
      </w:pPr>
      <w:r>
        <w:rPr>
          <w:rFonts w:ascii="仿宋_GB2312" w:hAnsi="仿宋_GB2312" w:cs="仿宋_GB2312" w:eastAsia="仿宋_GB2312"/>
          <w:sz w:val="20"/>
          <w:color w:val="000000"/>
        </w:rPr>
        <w:t>17.8</w:t>
      </w:r>
      <w:r>
        <w:rPr>
          <w:rFonts w:ascii="仿宋_GB2312" w:hAnsi="仿宋_GB2312" w:cs="仿宋_GB2312" w:eastAsia="仿宋_GB2312"/>
          <w:sz w:val="20"/>
          <w:color w:val="000000"/>
        </w:rPr>
        <w:t>本项目开标结束后，供应商应自备可上网的电脑，实时关注福建省政府采购系统在线评审大厅（特别是低价报价的投标人），若评标委员会在线上发起澄清邀请，投标人没有在系统限时内作出响应的，造成的不利后果供应商应自行承担。</w:t>
      </w:r>
    </w:p>
    <w:p>
      <w:pPr>
        <w:pStyle w:val="null3"/>
        <w:spacing w:before="75" w:after="75"/>
        <w:ind w:left="210" w:firstLine="420"/>
        <w:jc w:val="left"/>
      </w:pPr>
      <w:r>
        <w:rPr>
          <w:rFonts w:ascii="仿宋_GB2312" w:hAnsi="仿宋_GB2312" w:cs="仿宋_GB2312" w:eastAsia="仿宋_GB2312"/>
          <w:sz w:val="20"/>
          <w:color w:val="000000"/>
        </w:rPr>
        <w:t>17.9</w:t>
      </w:r>
      <w:r>
        <w:rPr>
          <w:rFonts w:ascii="仿宋_GB2312" w:hAnsi="仿宋_GB2312" w:cs="仿宋_GB2312" w:eastAsia="仿宋_GB2312"/>
          <w:sz w:val="20"/>
          <w:color w:val="000000"/>
        </w:rPr>
        <w:t>开、评标期间，投标人代表应保证采购系统中预留的联系方式畅通，在操作过程中若有疑问请咨询系统技术人员（</w:t>
      </w:r>
      <w:r>
        <w:rPr>
          <w:rFonts w:ascii="仿宋_GB2312" w:hAnsi="仿宋_GB2312" w:cs="仿宋_GB2312" w:eastAsia="仿宋_GB2312"/>
          <w:sz w:val="20"/>
          <w:color w:val="000000"/>
        </w:rPr>
        <w:t>400-1612-666</w:t>
      </w:r>
      <w:r>
        <w:rPr>
          <w:rFonts w:ascii="仿宋_GB2312" w:hAnsi="仿宋_GB2312" w:cs="仿宋_GB2312" w:eastAsia="仿宋_GB2312"/>
          <w:sz w:val="20"/>
          <w:color w:val="000000"/>
        </w:rPr>
        <w:t>、</w:t>
      </w:r>
      <w:r>
        <w:rPr>
          <w:rFonts w:ascii="仿宋_GB2312" w:hAnsi="仿宋_GB2312" w:cs="仿宋_GB2312" w:eastAsia="仿宋_GB2312"/>
          <w:sz w:val="20"/>
          <w:color w:val="000000"/>
        </w:rPr>
        <w:t>0592-2678532</w:t>
      </w:r>
      <w:r>
        <w:rPr>
          <w:rFonts w:ascii="仿宋_GB2312" w:hAnsi="仿宋_GB2312" w:cs="仿宋_GB2312" w:eastAsia="仿宋_GB2312"/>
          <w:sz w:val="20"/>
          <w:color w:val="000000"/>
        </w:rPr>
        <w:t>、</w:t>
      </w:r>
      <w:r>
        <w:rPr>
          <w:rFonts w:ascii="仿宋_GB2312" w:hAnsi="仿宋_GB2312" w:cs="仿宋_GB2312" w:eastAsia="仿宋_GB2312"/>
          <w:sz w:val="20"/>
          <w:color w:val="000000"/>
        </w:rPr>
        <w:t>0592-2858142等，以</w:t>
      </w:r>
      <w:r>
        <w:rPr>
          <w:rFonts w:ascii="仿宋_GB2312" w:hAnsi="仿宋_GB2312" w:cs="仿宋_GB2312" w:eastAsia="仿宋_GB2312"/>
          <w:sz w:val="20"/>
          <w:color w:val="000000"/>
        </w:rPr>
        <w:t>福建省政府采购网最新客服、技术咨询服务号码或方式为准。</w:t>
      </w:r>
      <w:r>
        <w:rPr>
          <w:rFonts w:ascii="仿宋_GB2312" w:hAnsi="仿宋_GB2312" w:cs="仿宋_GB2312" w:eastAsia="仿宋_GB2312"/>
          <w:sz w:val="20"/>
          <w:color w:val="000000"/>
        </w:rPr>
        <w:t>）。</w:t>
      </w:r>
    </w:p>
    <w:p>
      <w:pPr>
        <w:pStyle w:val="null3"/>
        <w:spacing w:before="75" w:after="75"/>
        <w:ind w:left="210" w:firstLine="420"/>
        <w:jc w:val="left"/>
      </w:pPr>
      <w:r>
        <w:rPr>
          <w:rFonts w:ascii="仿宋_GB2312" w:hAnsi="仿宋_GB2312" w:cs="仿宋_GB2312" w:eastAsia="仿宋_GB2312"/>
          <w:sz w:val="20"/>
          <w:color w:val="000000"/>
        </w:rPr>
        <w:t>17.10</w:t>
      </w:r>
      <w:r>
        <w:rPr>
          <w:rFonts w:ascii="仿宋_GB2312" w:hAnsi="仿宋_GB2312" w:cs="仿宋_GB2312" w:eastAsia="仿宋_GB2312"/>
          <w:sz w:val="20"/>
          <w:color w:val="000000"/>
        </w:rPr>
        <w:t>报名及相关操作提醒：请登录福建省政府采购网（政府采购网厦门市分网）→ 【服务专区】→【供应商操作指南】，按指引操作。请供应商及时进行网上报名并提前办理</w:t>
      </w:r>
      <w:r>
        <w:rPr>
          <w:rFonts w:ascii="仿宋_GB2312" w:hAnsi="仿宋_GB2312" w:cs="仿宋_GB2312" w:eastAsia="仿宋_GB2312"/>
          <w:sz w:val="20"/>
          <w:color w:val="000000"/>
        </w:rPr>
        <w:t>CA</w:t>
      </w:r>
      <w:r>
        <w:rPr>
          <w:rFonts w:ascii="仿宋_GB2312" w:hAnsi="仿宋_GB2312" w:cs="仿宋_GB2312" w:eastAsia="仿宋_GB2312"/>
          <w:sz w:val="20"/>
          <w:color w:val="000000"/>
        </w:rPr>
        <w:t>。相关操作说明可能会与福建省政府采购网厦门市分网实际存在差别，请以系统实际操作要求为准。</w:t>
      </w:r>
    </w:p>
    <w:p>
      <w:pPr>
        <w:pStyle w:val="null3"/>
        <w:spacing w:before="75" w:after="75"/>
        <w:ind w:left="210" w:firstLine="420"/>
        <w:jc w:val="left"/>
      </w:pPr>
      <w:r>
        <w:rPr>
          <w:rFonts w:ascii="仿宋_GB2312" w:hAnsi="仿宋_GB2312" w:cs="仿宋_GB2312" w:eastAsia="仿宋_GB2312"/>
          <w:sz w:val="20"/>
          <w:color w:val="000000"/>
        </w:rPr>
        <w:t>17.11</w:t>
      </w:r>
      <w:r>
        <w:rPr>
          <w:rFonts w:ascii="仿宋_GB2312" w:hAnsi="仿宋_GB2312" w:cs="仿宋_GB2312" w:eastAsia="仿宋_GB2312"/>
          <w:sz w:val="20"/>
          <w:color w:val="000000"/>
        </w:rPr>
        <w:t>供应商若提出质疑，应当符合采购文件及法律法规的相关规定，并提供福建省政府采购网报名截图，包含项目编号、项目名称、报名日期、报名单位全称等报名信息；接收质疑的地址联系人等，详见代理机构联系信息。</w:t>
      </w:r>
    </w:p>
    <w:p>
      <w:pPr>
        <w:pStyle w:val="null3"/>
        <w:spacing w:before="75" w:after="75"/>
        <w:ind w:left="210" w:firstLine="420"/>
        <w:jc w:val="left"/>
      </w:pPr>
      <w:r>
        <w:rPr>
          <w:rFonts w:ascii="仿宋_GB2312" w:hAnsi="仿宋_GB2312" w:cs="仿宋_GB2312" w:eastAsia="仿宋_GB2312"/>
          <w:sz w:val="20"/>
          <w:color w:val="000000"/>
        </w:rPr>
        <w:t>17.12</w:t>
      </w:r>
      <w:r>
        <w:rPr>
          <w:rFonts w:ascii="仿宋_GB2312" w:hAnsi="仿宋_GB2312" w:cs="仿宋_GB2312" w:eastAsia="仿宋_GB2312"/>
          <w:sz w:val="20"/>
          <w:color w:val="000000"/>
        </w:rPr>
        <w:t>关于虚假投标的风险提示。《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执法力度。相关行政处罚案件，供应商可登陆中国政府采购网的“政府采购严重违法失信行为记录名单”查询。</w:t>
      </w:r>
    </w:p>
    <w:p>
      <w:pPr>
        <w:pStyle w:val="null3"/>
        <w:spacing w:before="75" w:after="75"/>
        <w:ind w:left="210" w:firstLine="420"/>
        <w:jc w:val="left"/>
      </w:pPr>
      <w:r>
        <w:rPr>
          <w:rFonts w:ascii="仿宋_GB2312" w:hAnsi="仿宋_GB2312" w:cs="仿宋_GB2312" w:eastAsia="仿宋_GB2312"/>
          <w:sz w:val="20"/>
          <w:color w:val="000000"/>
        </w:rPr>
        <w:t>17.</w:t>
      </w:r>
      <w:r>
        <w:rPr>
          <w:rFonts w:ascii="仿宋_GB2312" w:hAnsi="仿宋_GB2312" w:cs="仿宋_GB2312" w:eastAsia="仿宋_GB2312"/>
          <w:sz w:val="20"/>
          <w:color w:val="000000"/>
        </w:rPr>
        <w:t>13</w:t>
      </w:r>
      <w:r>
        <w:rPr>
          <w:rFonts w:ascii="仿宋_GB2312" w:hAnsi="仿宋_GB2312" w:cs="仿宋_GB2312" w:eastAsia="仿宋_GB2312"/>
          <w:sz w:val="20"/>
          <w:color w:val="000000"/>
        </w:rPr>
        <w:t>关于明确串标情节及后果的预警提示，供应商应明确知晓相应行为及后果</w:t>
      </w:r>
    </w:p>
    <w:p>
      <w:pPr>
        <w:pStyle w:val="null3"/>
        <w:spacing w:after="30"/>
        <w:ind w:left="-240" w:right="-240" w:firstLine="480"/>
        <w:jc w:val="left"/>
      </w:pPr>
      <w:r>
        <w:rPr>
          <w:rFonts w:ascii="仿宋_GB2312" w:hAnsi="仿宋_GB2312" w:cs="仿宋_GB2312" w:eastAsia="仿宋_GB2312"/>
          <w:sz w:val="20"/>
          <w:b/>
          <w:color w:val="000000"/>
          <w:shd w:fill="FFFFFF" w:val="clear"/>
        </w:rPr>
        <w:t>① 政府采购相关政策法规规定的恶意串通、视为串通情形</w:t>
      </w:r>
    </w:p>
    <w:tbl>
      <w:tblPr>
        <w:tblW w:w="0" w:type="auto"/>
        <w:tblInd w:type="dxa" w:w="525"/>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inset" w:color="000000" w:sz="4"/>
              <w:left w:val="inset" w:color="000000" w:sz="4"/>
              <w:bottom w:val="inset" w:color="000000" w:sz="4"/>
              <w:right w:val="inset" w:color="000000" w:sz="4"/>
            </w:tcBorders>
            <w:shd w:fill="FFFFFF"/>
            <w:tcMar>
              <w:top w:type="dxa" w:w="0"/>
              <w:left w:type="dxa" w:w="30"/>
              <w:bottom w:type="dxa" w:w="0"/>
              <w:right w:type="dxa" w:w="30"/>
            </w:tcMar>
            <w:vAlign w:val="top"/>
          </w:tcPr>
          <w:p>
            <w:pPr>
              <w:pStyle w:val="null3"/>
              <w:spacing w:after="30"/>
              <w:ind w:firstLine="460"/>
              <w:jc w:val="left"/>
            </w:pPr>
            <w:r>
              <w:rPr>
                <w:rFonts w:ascii="仿宋_GB2312" w:hAnsi="仿宋_GB2312" w:cs="仿宋_GB2312" w:eastAsia="仿宋_GB2312"/>
                <w:sz w:val="20"/>
                <w:color w:val="000000"/>
              </w:rPr>
              <w:t>《中华人民共和国政府采购法实施条例》</w:t>
            </w:r>
          </w:p>
          <w:p>
            <w:pPr>
              <w:pStyle w:val="null3"/>
              <w:spacing w:after="30"/>
              <w:ind w:firstLine="60"/>
              <w:jc w:val="left"/>
            </w:pPr>
            <w:r>
              <w:rPr>
                <w:rFonts w:ascii="仿宋_GB2312" w:hAnsi="仿宋_GB2312" w:cs="仿宋_GB2312" w:eastAsia="仿宋_GB2312"/>
                <w:sz w:val="20"/>
                <w:color w:val="000000"/>
              </w:rPr>
              <w:t>第七十四条有下列情形之一的，属于恶意串通，对供应商依照政府采购法第七十七条第一款的规定追究法律责任，对采购人、采购代理机构及其工作人员依照政府采购法第七十二条的规定追究法律责任：（一）供应商直接或者间接从采购人或者采购代理机构处获得其他供应商的相关情况并修改其投标文件或者响应文件；（二）供应商按照采购人或者采购代理机构的授意撤换、修改投标文件或者响应文件；（三）供应商之间协商报价、技术方案等投标文件或者响应文件的实质性内容；（四）属于同一集团、协会、商会等组织成员的供应商按照该组织要求协同参加政府采购活动；（五）供应商之间事先约定由某一特定供应商中标、成交；（六）供应商之间商定部分供应商放弃参加政府采购活动或者放弃中标、成交；（七）供应商与采购人或者采购代理机构之间、供应商相互之间，为谋求特定供应商中标、成交或者排斥其他供应商的其他串通行为。</w:t>
            </w:r>
          </w:p>
          <w:p>
            <w:pPr>
              <w:pStyle w:val="null3"/>
              <w:spacing w:after="30"/>
              <w:ind w:firstLine="380"/>
              <w:jc w:val="left"/>
            </w:pPr>
            <w:r>
              <w:rPr>
                <w:rFonts w:ascii="仿宋_GB2312" w:hAnsi="仿宋_GB2312" w:cs="仿宋_GB2312" w:eastAsia="仿宋_GB2312"/>
                <w:sz w:val="20"/>
              </w:rPr>
              <w:t xml:space="preserve"> </w:t>
            </w:r>
          </w:p>
          <w:p>
            <w:pPr>
              <w:pStyle w:val="null3"/>
              <w:spacing w:after="30"/>
              <w:ind w:firstLine="460"/>
              <w:jc w:val="left"/>
            </w:pPr>
            <w:r>
              <w:rPr>
                <w:rFonts w:ascii="仿宋_GB2312" w:hAnsi="仿宋_GB2312" w:cs="仿宋_GB2312" w:eastAsia="仿宋_GB2312"/>
                <w:sz w:val="20"/>
                <w:color w:val="000000"/>
              </w:rPr>
              <w:t>《政府采购货物和服务招标投标管理办法》</w:t>
            </w:r>
          </w:p>
          <w:p>
            <w:pPr>
              <w:pStyle w:val="null3"/>
              <w:spacing w:after="30"/>
              <w:ind w:firstLine="60"/>
              <w:jc w:val="left"/>
            </w:pPr>
            <w:r>
              <w:rPr>
                <w:rFonts w:ascii="仿宋_GB2312" w:hAnsi="仿宋_GB2312" w:cs="仿宋_GB2312" w:eastAsia="仿宋_GB2312"/>
                <w:sz w:val="20"/>
                <w:color w:val="000000"/>
              </w:rPr>
              <w:t>第三十七条有下列情形之一的，视为投标人串通投标，其投标无效：（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bl>
    <w:p>
      <w:pPr>
        <w:pStyle w:val="null3"/>
        <w:spacing w:after="30"/>
        <w:ind w:left="-240" w:right="-240" w:firstLine="480"/>
        <w:jc w:val="left"/>
      </w:pPr>
      <w:r>
        <w:rPr>
          <w:rFonts w:ascii="仿宋_GB2312" w:hAnsi="仿宋_GB2312" w:cs="仿宋_GB2312" w:eastAsia="仿宋_GB2312"/>
          <w:sz w:val="20"/>
          <w:b/>
        </w:rPr>
        <w:t xml:space="preserve"> </w:t>
      </w:r>
      <w:r>
        <w:rPr>
          <w:rFonts w:ascii="仿宋_GB2312" w:hAnsi="仿宋_GB2312" w:cs="仿宋_GB2312" w:eastAsia="仿宋_GB2312"/>
          <w:sz w:val="20"/>
          <w:b/>
          <w:color w:val="000000"/>
          <w:shd w:fill="FFFFFF" w:val="clear"/>
        </w:rPr>
        <w:t>②</w:t>
      </w:r>
      <w:r>
        <w:rPr>
          <w:rFonts w:ascii="仿宋_GB2312" w:hAnsi="仿宋_GB2312" w:cs="仿宋_GB2312" w:eastAsia="仿宋_GB2312"/>
          <w:sz w:val="20"/>
          <w:b/>
        </w:rPr>
        <w:t xml:space="preserve">  </w:t>
      </w:r>
      <w:r>
        <w:rPr>
          <w:rFonts w:ascii="仿宋_GB2312" w:hAnsi="仿宋_GB2312" w:cs="仿宋_GB2312" w:eastAsia="仿宋_GB2312"/>
          <w:sz w:val="20"/>
          <w:b/>
          <w:color w:val="000000"/>
          <w:shd w:fill="FFFFFF" w:val="clear"/>
        </w:rPr>
        <w:t>政府采购相关政策法规规定的供 应商恶意串通需承担的后果</w:t>
      </w:r>
    </w:p>
    <w:tbl>
      <w:tblPr>
        <w:tblW w:w="0" w:type="auto"/>
        <w:tblInd w:type="dxa" w:w="525"/>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inset" w:color="000000" w:sz="4"/>
              <w:left w:val="inset" w:color="000000" w:sz="4"/>
              <w:bottom w:val="inset" w:color="000000" w:sz="4"/>
              <w:right w:val="inset" w:color="000000" w:sz="4"/>
            </w:tcBorders>
            <w:shd w:fill="FFFFFF"/>
            <w:tcMar>
              <w:top w:type="dxa" w:w="0"/>
              <w:left w:type="dxa" w:w="30"/>
              <w:bottom w:type="dxa" w:w="0"/>
              <w:right w:type="dxa" w:w="30"/>
            </w:tcMar>
            <w:vAlign w:val="top"/>
          </w:tcPr>
          <w:p>
            <w:pPr>
              <w:pStyle w:val="null3"/>
              <w:spacing w:after="30"/>
              <w:ind w:firstLine="540"/>
              <w:jc w:val="left"/>
            </w:pPr>
            <w:r>
              <w:rPr>
                <w:rFonts w:ascii="仿宋_GB2312" w:hAnsi="仿宋_GB2312" w:cs="仿宋_GB2312" w:eastAsia="仿宋_GB2312"/>
                <w:sz w:val="20"/>
                <w:color w:val="000000"/>
              </w:rPr>
              <w:t>《中华人民共和国政府采购法》</w:t>
            </w:r>
          </w:p>
          <w:p>
            <w:pPr>
              <w:pStyle w:val="null3"/>
              <w:spacing w:after="30"/>
              <w:ind w:firstLine="60"/>
              <w:jc w:val="left"/>
            </w:pPr>
            <w:r>
              <w:rPr>
                <w:rFonts w:ascii="仿宋_GB2312" w:hAnsi="仿宋_GB2312" w:cs="仿宋_GB2312" w:eastAsia="仿宋_GB2312"/>
                <w:sz w:val="20"/>
                <w:color w:val="000000"/>
              </w:rPr>
              <w:t>第七十七条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二）采取不正当手段诋毁、排挤其他供应商的；（三）与采购人、其他供应商或者采购代理机构恶意串通的。注：</w:t>
            </w:r>
          </w:p>
        </w:tc>
      </w:tr>
    </w:tbl>
    <w:p>
      <w:pPr>
        <w:pStyle w:val="null3"/>
        <w:spacing w:after="30"/>
        <w:ind w:left="-240" w:right="-240" w:firstLine="480"/>
        <w:jc w:val="left"/>
      </w:pPr>
      <w:r>
        <w:rPr>
          <w:rFonts w:ascii="仿宋_GB2312" w:hAnsi="仿宋_GB2312" w:cs="仿宋_GB2312" w:eastAsia="仿宋_GB2312"/>
          <w:sz w:val="20"/>
          <w:b/>
        </w:rPr>
        <w:t xml:space="preserve"> </w:t>
      </w:r>
      <w:r>
        <w:rPr>
          <w:rFonts w:ascii="仿宋_GB2312" w:hAnsi="仿宋_GB2312" w:cs="仿宋_GB2312" w:eastAsia="仿宋_GB2312"/>
          <w:sz w:val="20"/>
          <w:b/>
          <w:color w:val="000000"/>
          <w:shd w:fill="FFFFFF" w:val="clear"/>
        </w:rPr>
        <w:t>③ 《关于电子化政府采购项目中视为串标情形认定与处理的指导意见》</w:t>
      </w:r>
    </w:p>
    <w:tbl>
      <w:tblPr>
        <w:tblW w:w="0" w:type="auto"/>
        <w:tblInd w:type="dxa" w:w="525"/>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inset" w:color="000000" w:sz="4"/>
              <w:left w:val="inset" w:color="000000" w:sz="4"/>
              <w:bottom w:val="inset" w:color="000000" w:sz="4"/>
              <w:right w:val="inset" w:color="000000" w:sz="4"/>
            </w:tcBorders>
            <w:shd w:fill="FFFFFF"/>
            <w:tcMar>
              <w:top w:type="dxa" w:w="0"/>
              <w:left w:type="dxa" w:w="30"/>
              <w:bottom w:type="dxa" w:w="0"/>
              <w:right w:type="dxa" w:w="30"/>
            </w:tcMar>
            <w:vAlign w:val="top"/>
          </w:tcPr>
          <w:p>
            <w:pPr>
              <w:pStyle w:val="null3"/>
              <w:spacing w:after="30"/>
              <w:ind w:firstLine="380"/>
              <w:jc w:val="center"/>
            </w:pPr>
            <w:r>
              <w:rPr>
                <w:rFonts w:ascii="仿宋_GB2312" w:hAnsi="仿宋_GB2312" w:cs="仿宋_GB2312" w:eastAsia="仿宋_GB2312"/>
                <w:sz w:val="20"/>
                <w:color w:val="000000"/>
              </w:rPr>
              <w:t>关于电子化政府采购项目中视为串标情形认定与处理的指导意见</w:t>
            </w:r>
          </w:p>
          <w:p>
            <w:pPr>
              <w:pStyle w:val="null3"/>
              <w:spacing w:after="30"/>
              <w:ind w:firstLine="380"/>
              <w:jc w:val="center"/>
            </w:pPr>
            <w:r>
              <w:rPr>
                <w:rFonts w:ascii="仿宋_GB2312" w:hAnsi="仿宋_GB2312" w:cs="仿宋_GB2312" w:eastAsia="仿宋_GB2312"/>
                <w:sz w:val="20"/>
                <w:color w:val="000000"/>
              </w:rPr>
              <w:t>闽财购〔</w:t>
            </w:r>
            <w:r>
              <w:rPr>
                <w:rFonts w:ascii="仿宋_GB2312" w:hAnsi="仿宋_GB2312" w:cs="仿宋_GB2312" w:eastAsia="仿宋_GB2312"/>
                <w:sz w:val="20"/>
                <w:color w:val="000000"/>
              </w:rPr>
              <w:t>2018</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30 </w:t>
            </w:r>
            <w:r>
              <w:rPr>
                <w:rFonts w:ascii="仿宋_GB2312" w:hAnsi="仿宋_GB2312" w:cs="仿宋_GB2312" w:eastAsia="仿宋_GB2312"/>
                <w:sz w:val="20"/>
                <w:color w:val="000000"/>
              </w:rPr>
              <w:t>号</w:t>
            </w:r>
          </w:p>
          <w:p>
            <w:pPr>
              <w:pStyle w:val="null3"/>
              <w:spacing w:after="30"/>
              <w:ind w:firstLine="380"/>
              <w:jc w:val="left"/>
            </w:pPr>
            <w:r>
              <w:rPr>
                <w:rFonts w:ascii="仿宋_GB2312" w:hAnsi="仿宋_GB2312" w:cs="仿宋_GB2312" w:eastAsia="仿宋_GB2312"/>
                <w:sz w:val="20"/>
                <w:color w:val="000000"/>
              </w:rPr>
              <w:t>省直各单位，各设区市财政局、平潭综合实验区财政金融局，各政府采购代理机构：</w:t>
            </w:r>
          </w:p>
          <w:p>
            <w:pPr>
              <w:pStyle w:val="null3"/>
              <w:spacing w:after="30"/>
              <w:ind w:firstLine="60"/>
              <w:jc w:val="left"/>
            </w:pPr>
            <w:r>
              <w:rPr>
                <w:rFonts w:ascii="仿宋_GB2312" w:hAnsi="仿宋_GB2312" w:cs="仿宋_GB2312" w:eastAsia="仿宋_GB2312"/>
                <w:sz w:val="20"/>
                <w:color w:val="000000"/>
              </w:rPr>
              <w:t>为进一步规范我省政府采购市场秩序，有效遏制串通投标等违法行为，根据《中华人民共和国政府采购法》《中华人民共和国政府采购法实施条例》和《政府采购货物和服务招标投标管理办法》（财政部令第</w:t>
            </w:r>
            <w:r>
              <w:rPr>
                <w:rFonts w:ascii="仿宋_GB2312" w:hAnsi="仿宋_GB2312" w:cs="仿宋_GB2312" w:eastAsia="仿宋_GB2312"/>
                <w:sz w:val="20"/>
                <w:color w:val="000000"/>
              </w:rPr>
              <w:t xml:space="preserve">87 </w:t>
            </w:r>
            <w:r>
              <w:rPr>
                <w:rFonts w:ascii="仿宋_GB2312" w:hAnsi="仿宋_GB2312" w:cs="仿宋_GB2312" w:eastAsia="仿宋_GB2312"/>
                <w:sz w:val="20"/>
                <w:color w:val="000000"/>
              </w:rPr>
              <w:t>号）等有关法律法规和规章，结合我省电子化政府采购项目特点，现对电子化政府采购项目中视为串通的情形及处理提出以下指导意见：</w:t>
            </w:r>
          </w:p>
          <w:p>
            <w:pPr>
              <w:pStyle w:val="null3"/>
              <w:spacing w:after="30"/>
              <w:ind w:firstLine="380"/>
              <w:jc w:val="left"/>
            </w:pPr>
            <w:r>
              <w:rPr>
                <w:rFonts w:ascii="仿宋_GB2312" w:hAnsi="仿宋_GB2312" w:cs="仿宋_GB2312" w:eastAsia="仿宋_GB2312"/>
                <w:sz w:val="20"/>
                <w:color w:val="000000"/>
              </w:rPr>
              <w:t>一、电子化招标项目视为串通情形的认定</w:t>
            </w:r>
          </w:p>
          <w:p>
            <w:pPr>
              <w:pStyle w:val="null3"/>
              <w:spacing w:after="30"/>
              <w:ind w:firstLine="380"/>
              <w:jc w:val="left"/>
            </w:pPr>
            <w:r>
              <w:rPr>
                <w:rFonts w:ascii="仿宋_GB2312" w:hAnsi="仿宋_GB2312" w:cs="仿宋_GB2312" w:eastAsia="仿宋_GB2312"/>
                <w:sz w:val="20"/>
                <w:color w:val="000000"/>
              </w:rPr>
              <w:t>（一）保证金验核阶段</w:t>
            </w:r>
          </w:p>
          <w:p>
            <w:pPr>
              <w:pStyle w:val="null3"/>
              <w:spacing w:after="30"/>
              <w:ind w:firstLine="60"/>
              <w:jc w:val="left"/>
            </w:pPr>
            <w:r>
              <w:rPr>
                <w:rFonts w:ascii="仿宋_GB2312" w:hAnsi="仿宋_GB2312" w:cs="仿宋_GB2312" w:eastAsia="仿宋_GB2312"/>
                <w:sz w:val="20"/>
                <w:color w:val="000000"/>
              </w:rPr>
              <w:t>不同投标人的投标保证金转出账户的银行账户名称相同的，属于《政府采购货物和服务招标投标管理办法》（财政部令第</w:t>
            </w:r>
            <w:r>
              <w:rPr>
                <w:rFonts w:ascii="仿宋_GB2312" w:hAnsi="仿宋_GB2312" w:cs="仿宋_GB2312" w:eastAsia="仿宋_GB2312"/>
                <w:sz w:val="20"/>
                <w:color w:val="000000"/>
              </w:rPr>
              <w:t xml:space="preserve">87 </w:t>
            </w:r>
            <w:r>
              <w:rPr>
                <w:rFonts w:ascii="仿宋_GB2312" w:hAnsi="仿宋_GB2312" w:cs="仿宋_GB2312" w:eastAsia="仿宋_GB2312"/>
                <w:sz w:val="20"/>
                <w:color w:val="000000"/>
              </w:rPr>
              <w:t>号）第三十七条第（六）项“不同投标人的投标保证金从同一单位或者个人的账户转出”的情形。</w:t>
            </w:r>
          </w:p>
          <w:p>
            <w:pPr>
              <w:pStyle w:val="null3"/>
              <w:spacing w:after="30"/>
              <w:ind w:firstLine="380"/>
              <w:jc w:val="left"/>
            </w:pPr>
            <w:r>
              <w:rPr>
                <w:rFonts w:ascii="仿宋_GB2312" w:hAnsi="仿宋_GB2312" w:cs="仿宋_GB2312" w:eastAsia="仿宋_GB2312"/>
                <w:sz w:val="20"/>
                <w:color w:val="000000"/>
              </w:rPr>
              <w:t>（二）电子响应文件解密阶段</w:t>
            </w:r>
          </w:p>
          <w:p>
            <w:pPr>
              <w:pStyle w:val="null3"/>
              <w:spacing w:after="30"/>
              <w:ind w:firstLine="60"/>
              <w:jc w:val="left"/>
            </w:pPr>
            <w:r>
              <w:rPr>
                <w:rFonts w:ascii="仿宋_GB2312" w:hAnsi="仿宋_GB2312" w:cs="仿宋_GB2312" w:eastAsia="仿宋_GB2312"/>
                <w:sz w:val="20"/>
                <w:color w:val="000000"/>
              </w:rPr>
              <w:t>电子响应文件的个性特征与本采购项目的其他响应人存在雷同的，按照以下方式进行认定：</w:t>
            </w:r>
          </w:p>
          <w:p>
            <w:pPr>
              <w:pStyle w:val="null3"/>
              <w:spacing w:after="30"/>
              <w:ind w:firstLine="66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投标人上传电子投标文件被福建省政府采购网上公开信息系统投标客户端所赋予的项目内部识别码与本招标项目的其他投标人相同的，属于《政府采购货物和服务招标投标管理办法》（财政部令第</w:t>
            </w:r>
            <w:r>
              <w:rPr>
                <w:rFonts w:ascii="仿宋_GB2312" w:hAnsi="仿宋_GB2312" w:cs="仿宋_GB2312" w:eastAsia="仿宋_GB2312"/>
                <w:sz w:val="20"/>
                <w:color w:val="000000"/>
              </w:rPr>
              <w:t xml:space="preserve"> 87 </w:t>
            </w:r>
            <w:r>
              <w:rPr>
                <w:rFonts w:ascii="仿宋_GB2312" w:hAnsi="仿宋_GB2312" w:cs="仿宋_GB2312" w:eastAsia="仿宋_GB2312"/>
                <w:sz w:val="20"/>
                <w:color w:val="000000"/>
              </w:rPr>
              <w:t>号）第三十七条第（一）项“不同投标人的投标文件由同一单位或者个人编制”的情形。</w:t>
            </w:r>
          </w:p>
          <w:p>
            <w:pPr>
              <w:pStyle w:val="null3"/>
              <w:spacing w:after="30"/>
              <w:ind w:firstLine="66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系统记录的编制电子投标文件使用的计算机或上传电子投标文件使用的计算机网卡</w:t>
            </w:r>
            <w:r>
              <w:rPr>
                <w:rFonts w:ascii="仿宋_GB2312" w:hAnsi="仿宋_GB2312" w:cs="仿宋_GB2312" w:eastAsia="仿宋_GB2312"/>
                <w:sz w:val="20"/>
                <w:color w:val="000000"/>
              </w:rPr>
              <w:t xml:space="preserve"> MAC </w:t>
            </w:r>
            <w:r>
              <w:rPr>
                <w:rFonts w:ascii="仿宋_GB2312" w:hAnsi="仿宋_GB2312" w:cs="仿宋_GB2312" w:eastAsia="仿宋_GB2312"/>
                <w:sz w:val="20"/>
                <w:color w:val="000000"/>
              </w:rPr>
              <w:t>地址与本招标项目的其他投标人一致的，属于《政府采购货物和服务招标投标管理办法》（财政部令第</w:t>
            </w:r>
            <w:r>
              <w:rPr>
                <w:rFonts w:ascii="仿宋_GB2312" w:hAnsi="仿宋_GB2312" w:cs="仿宋_GB2312" w:eastAsia="仿宋_GB2312"/>
                <w:sz w:val="20"/>
                <w:color w:val="000000"/>
              </w:rPr>
              <w:t xml:space="preserve"> 87 </w:t>
            </w:r>
            <w:r>
              <w:rPr>
                <w:rFonts w:ascii="仿宋_GB2312" w:hAnsi="仿宋_GB2312" w:cs="仿宋_GB2312" w:eastAsia="仿宋_GB2312"/>
                <w:sz w:val="20"/>
                <w:color w:val="000000"/>
              </w:rPr>
              <w:t>号）第三十七条第（二）项“不同投标人委托同一单位或者个人办理投标事宜”的情形。</w:t>
            </w:r>
          </w:p>
          <w:p>
            <w:pPr>
              <w:pStyle w:val="null3"/>
              <w:spacing w:after="30"/>
              <w:ind w:firstLine="46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投标人上传的电子投标文件若出现使用本项目其他投标人的数字证书加密的或加盖本项目的其他投标人的电子印章的，属于《政府采购货物和服务招标投标管理办法</w:t>
            </w:r>
            <w:r>
              <w:rPr>
                <w:rFonts w:ascii="仿宋_GB2312" w:hAnsi="仿宋_GB2312" w:cs="仿宋_GB2312" w:eastAsia="仿宋_GB2312"/>
                <w:sz w:val="20"/>
                <w:color w:val="000000"/>
              </w:rPr>
              <w:t>236</w:t>
            </w:r>
            <w:r>
              <w:rPr>
                <w:rFonts w:ascii="仿宋_GB2312" w:hAnsi="仿宋_GB2312" w:cs="仿宋_GB2312" w:eastAsia="仿宋_GB2312"/>
                <w:sz w:val="20"/>
                <w:color w:val="000000"/>
              </w:rPr>
              <w:t>（财政部令第</w:t>
            </w:r>
            <w:r>
              <w:rPr>
                <w:rFonts w:ascii="仿宋_GB2312" w:hAnsi="仿宋_GB2312" w:cs="仿宋_GB2312" w:eastAsia="仿宋_GB2312"/>
                <w:sz w:val="20"/>
                <w:color w:val="000000"/>
              </w:rPr>
              <w:t xml:space="preserve"> 87 </w:t>
            </w:r>
            <w:r>
              <w:rPr>
                <w:rFonts w:ascii="仿宋_GB2312" w:hAnsi="仿宋_GB2312" w:cs="仿宋_GB2312" w:eastAsia="仿宋_GB2312"/>
                <w:sz w:val="20"/>
                <w:color w:val="000000"/>
              </w:rPr>
              <w:t>号）第三十七条第（五）项“不同投标人的投标文件相互混装”的情形。</w:t>
            </w:r>
          </w:p>
          <w:p>
            <w:pPr>
              <w:pStyle w:val="null3"/>
              <w:spacing w:after="30"/>
              <w:ind w:firstLine="380"/>
              <w:jc w:val="left"/>
            </w:pPr>
            <w:r>
              <w:rPr>
                <w:rFonts w:ascii="仿宋_GB2312" w:hAnsi="仿宋_GB2312" w:cs="仿宋_GB2312" w:eastAsia="仿宋_GB2312"/>
                <w:sz w:val="20"/>
                <w:color w:val="000000"/>
              </w:rPr>
              <w:t>二、电子化非招标项目视为串通情形的认定</w:t>
            </w:r>
          </w:p>
          <w:p>
            <w:pPr>
              <w:pStyle w:val="null3"/>
              <w:spacing w:after="30"/>
              <w:ind w:firstLine="60"/>
              <w:jc w:val="left"/>
            </w:pPr>
            <w:r>
              <w:rPr>
                <w:rFonts w:ascii="仿宋_GB2312" w:hAnsi="仿宋_GB2312" w:cs="仿宋_GB2312" w:eastAsia="仿宋_GB2312"/>
                <w:sz w:val="20"/>
                <w:color w:val="000000"/>
              </w:rPr>
              <w:t>电子化非招标项目（包括竞争性谈判、竞争性磋商、询价）中出现本意见第一点所列情形的，属于《中华人民共和国政府采购法实施条例》第七十四条第（七）项“供 应商与采购人或者采购代 理机构之间、供 应商相互之间，为谋求特定供 应商中 标、成交或者排斥其他供 应商的其他串通行为”。</w:t>
            </w:r>
          </w:p>
          <w:p>
            <w:pPr>
              <w:pStyle w:val="null3"/>
              <w:spacing w:after="30"/>
              <w:ind w:firstLine="380"/>
              <w:jc w:val="left"/>
            </w:pPr>
            <w:r>
              <w:rPr>
                <w:rFonts w:ascii="仿宋_GB2312" w:hAnsi="仿宋_GB2312" w:cs="仿宋_GB2312" w:eastAsia="仿宋_GB2312"/>
                <w:sz w:val="20"/>
                <w:color w:val="000000"/>
              </w:rPr>
              <w:t>三、电子化项目视为串通情形的处理</w:t>
            </w:r>
          </w:p>
          <w:p>
            <w:pPr>
              <w:pStyle w:val="null3"/>
              <w:spacing w:after="30"/>
              <w:ind w:firstLine="60"/>
              <w:jc w:val="left"/>
            </w:pPr>
            <w:r>
              <w:rPr>
                <w:rFonts w:ascii="仿宋_GB2312" w:hAnsi="仿宋_GB2312" w:cs="仿宋_GB2312" w:eastAsia="仿宋_GB2312"/>
                <w:sz w:val="20"/>
                <w:color w:val="000000"/>
              </w:rPr>
              <w:t>采购人、采购代理机构应当将上述情形在采购文件中予以明确。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各级财政部门收到书面报告的，应当组织开展调查，并依法追究法律责任。</w:t>
            </w:r>
          </w:p>
          <w:p>
            <w:pPr>
              <w:pStyle w:val="null3"/>
              <w:spacing w:after="30"/>
              <w:ind w:firstLine="60"/>
              <w:jc w:val="left"/>
            </w:pPr>
            <w:r>
              <w:rPr>
                <w:rFonts w:ascii="仿宋_GB2312" w:hAnsi="仿宋_GB2312" w:cs="仿宋_GB2312" w:eastAsia="仿宋_GB2312"/>
                <w:sz w:val="20"/>
                <w:color w:val="000000"/>
              </w:rPr>
              <w:t>投标人（响应人）未缴纳保证金或未上传电子投标文件（包括投标截止时间前撤回投标文件）或未按采购文件的要求于规定时间内解密采购文件的，不进行串通情形的认定。</w:t>
            </w:r>
          </w:p>
          <w:p>
            <w:pPr>
              <w:pStyle w:val="null3"/>
              <w:spacing w:after="30"/>
              <w:ind w:firstLine="60"/>
              <w:jc w:val="left"/>
            </w:pPr>
            <w:r>
              <w:rPr>
                <w:rFonts w:ascii="仿宋_GB2312" w:hAnsi="仿宋_GB2312" w:cs="仿宋_GB2312" w:eastAsia="仿宋_GB2312"/>
                <w:sz w:val="20"/>
                <w:color w:val="000000"/>
              </w:rPr>
              <w:t>本意见自</w:t>
            </w:r>
            <w:r>
              <w:rPr>
                <w:rFonts w:ascii="仿宋_GB2312" w:hAnsi="仿宋_GB2312" w:cs="仿宋_GB2312" w:eastAsia="仿宋_GB2312"/>
                <w:sz w:val="20"/>
                <w:color w:val="000000"/>
              </w:rPr>
              <w:t xml:space="preserve">2019 </w:t>
            </w:r>
            <w:r>
              <w:rPr>
                <w:rFonts w:ascii="仿宋_GB2312" w:hAnsi="仿宋_GB2312" w:cs="仿宋_GB2312" w:eastAsia="仿宋_GB2312"/>
                <w:sz w:val="20"/>
                <w:color w:val="000000"/>
              </w:rPr>
              <w:t>年</w:t>
            </w:r>
            <w:r>
              <w:rPr>
                <w:rFonts w:ascii="仿宋_GB2312" w:hAnsi="仿宋_GB2312" w:cs="仿宋_GB2312" w:eastAsia="仿宋_GB2312"/>
                <w:sz w:val="20"/>
                <w:color w:val="000000"/>
              </w:rPr>
              <w:t xml:space="preserve"> 1 </w:t>
            </w:r>
            <w:r>
              <w:rPr>
                <w:rFonts w:ascii="仿宋_GB2312" w:hAnsi="仿宋_GB2312" w:cs="仿宋_GB2312" w:eastAsia="仿宋_GB2312"/>
                <w:sz w:val="20"/>
                <w:color w:val="000000"/>
              </w:rPr>
              <w:t>月</w:t>
            </w:r>
            <w:r>
              <w:rPr>
                <w:rFonts w:ascii="仿宋_GB2312" w:hAnsi="仿宋_GB2312" w:cs="仿宋_GB2312" w:eastAsia="仿宋_GB2312"/>
                <w:sz w:val="20"/>
                <w:color w:val="000000"/>
              </w:rPr>
              <w:t xml:space="preserve"> 1 </w:t>
            </w:r>
            <w:r>
              <w:rPr>
                <w:rFonts w:ascii="仿宋_GB2312" w:hAnsi="仿宋_GB2312" w:cs="仿宋_GB2312" w:eastAsia="仿宋_GB2312"/>
                <w:sz w:val="20"/>
                <w:color w:val="000000"/>
              </w:rPr>
              <w:t>日起执行。</w:t>
            </w:r>
          </w:p>
          <w:p>
            <w:pPr>
              <w:pStyle w:val="null3"/>
              <w:spacing w:after="30"/>
              <w:ind w:firstLine="380"/>
              <w:jc w:val="right"/>
            </w:pPr>
            <w:r>
              <w:rPr>
                <w:rFonts w:ascii="仿宋_GB2312" w:hAnsi="仿宋_GB2312" w:cs="仿宋_GB2312" w:eastAsia="仿宋_GB2312"/>
                <w:sz w:val="20"/>
                <w:color w:val="000000"/>
              </w:rPr>
              <w:t>福建省财政厅</w:t>
            </w:r>
          </w:p>
          <w:p>
            <w:pPr>
              <w:pStyle w:val="null3"/>
              <w:spacing w:after="30"/>
              <w:ind w:firstLine="380"/>
              <w:jc w:val="right"/>
            </w:pPr>
            <w:r>
              <w:rPr>
                <w:rFonts w:ascii="仿宋_GB2312" w:hAnsi="仿宋_GB2312" w:cs="仿宋_GB2312" w:eastAsia="仿宋_GB2312"/>
                <w:sz w:val="20"/>
                <w:color w:val="000000"/>
              </w:rPr>
              <w:t xml:space="preserve">2018 </w:t>
            </w:r>
            <w:r>
              <w:rPr>
                <w:rFonts w:ascii="仿宋_GB2312" w:hAnsi="仿宋_GB2312" w:cs="仿宋_GB2312" w:eastAsia="仿宋_GB2312"/>
                <w:sz w:val="20"/>
                <w:color w:val="000000"/>
              </w:rPr>
              <w:t>年</w:t>
            </w:r>
            <w:r>
              <w:rPr>
                <w:rFonts w:ascii="仿宋_GB2312" w:hAnsi="仿宋_GB2312" w:cs="仿宋_GB2312" w:eastAsia="仿宋_GB2312"/>
                <w:sz w:val="20"/>
                <w:color w:val="000000"/>
              </w:rPr>
              <w:t xml:space="preserve"> 11 </w:t>
            </w:r>
            <w:r>
              <w:rPr>
                <w:rFonts w:ascii="仿宋_GB2312" w:hAnsi="仿宋_GB2312" w:cs="仿宋_GB2312" w:eastAsia="仿宋_GB2312"/>
                <w:sz w:val="20"/>
                <w:color w:val="000000"/>
              </w:rPr>
              <w:t>月</w:t>
            </w:r>
            <w:r>
              <w:rPr>
                <w:rFonts w:ascii="仿宋_GB2312" w:hAnsi="仿宋_GB2312" w:cs="仿宋_GB2312" w:eastAsia="仿宋_GB2312"/>
                <w:sz w:val="20"/>
                <w:color w:val="000000"/>
              </w:rPr>
              <w:t xml:space="preserve"> 12 </w:t>
            </w:r>
            <w:r>
              <w:rPr>
                <w:rFonts w:ascii="仿宋_GB2312" w:hAnsi="仿宋_GB2312" w:cs="仿宋_GB2312" w:eastAsia="仿宋_GB2312"/>
                <w:sz w:val="20"/>
                <w:color w:val="000000"/>
              </w:rPr>
              <w:t>日</w:t>
            </w:r>
          </w:p>
        </w:tc>
      </w:tr>
    </w:tbl>
    <w:p>
      <w:pPr>
        <w:pStyle w:val="null3"/>
        <w:spacing w:before="75" w:after="75"/>
        <w:ind w:left="210" w:firstLine="420"/>
        <w:jc w:val="left"/>
      </w:pPr>
      <w:r>
        <w:rPr>
          <w:rFonts w:ascii="仿宋_GB2312" w:hAnsi="仿宋_GB2312" w:cs="仿宋_GB2312" w:eastAsia="仿宋_GB2312"/>
          <w:sz w:val="20"/>
          <w:color w:val="000000"/>
        </w:rPr>
        <w:t>④ 供应商存在恶意串通、视为串通情形的，采购人、采购代理机构将按规定认定其投标（响应）无效，没收其保证金，并将不予退还的保证金于投标截止时间次月十日（遇法定节假日顺延）前统一上缴国库；并要求相关供应商在</w:t>
      </w:r>
      <w:r>
        <w:rPr>
          <w:rFonts w:ascii="仿宋_GB2312" w:hAnsi="仿宋_GB2312" w:cs="仿宋_GB2312" w:eastAsia="仿宋_GB2312"/>
          <w:sz w:val="20"/>
          <w:color w:val="000000"/>
        </w:rPr>
        <w:t>5</w:t>
      </w:r>
      <w:r>
        <w:rPr>
          <w:rFonts w:ascii="仿宋_GB2312" w:hAnsi="仿宋_GB2312" w:cs="仿宋_GB2312" w:eastAsia="仿宋_GB2312"/>
          <w:sz w:val="20"/>
          <w:color w:val="000000"/>
        </w:rPr>
        <w:t>个工作日内对恶意串通、视为串通的情形作出解释说明，提供相关证据证明。</w:t>
      </w:r>
    </w:p>
    <w:p>
      <w:pPr>
        <w:pStyle w:val="null3"/>
        <w:ind w:firstLine="480"/>
        <w:jc w:val="left"/>
      </w:pPr>
      <w:r>
        <w:rPr>
          <w:rFonts w:ascii="仿宋_GB2312" w:hAnsi="仿宋_GB2312" w:cs="仿宋_GB2312" w:eastAsia="仿宋_GB2312"/>
          <w:sz w:val="20"/>
          <w:b/>
          <w:color w:val="000000"/>
          <w:shd w:fill="FFFFFF" w:val="clear"/>
        </w:rPr>
        <w:t>附</w:t>
      </w:r>
      <w:r>
        <w:rPr>
          <w:rFonts w:ascii="仿宋_GB2312" w:hAnsi="仿宋_GB2312" w:cs="仿宋_GB2312" w:eastAsia="仿宋_GB2312"/>
          <w:sz w:val="20"/>
          <w:b/>
          <w:color w:val="000000"/>
          <w:shd w:fill="FFFFFF" w:val="clear"/>
        </w:rPr>
        <w:t>资格承诺函</w:t>
      </w:r>
    </w:p>
    <w:tbl>
      <w:tblPr>
        <w:tblW w:w="0" w:type="auto"/>
        <w:tblBorders>
          <w:top w:val="single"/>
          <w:left w:val="single"/>
          <w:bottom w:val="single"/>
          <w:right w:val="single"/>
          <w:insideH w:val="single"/>
          <w:insideV w:val="singl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0"/>
                <w:color w:val="000000"/>
              </w:rPr>
              <w:t>资格承诺函</w:t>
            </w:r>
          </w:p>
          <w:p>
            <w:pPr>
              <w:pStyle w:val="null3"/>
              <w:ind w:firstLine="480"/>
              <w:jc w:val="left"/>
            </w:pPr>
            <w:r>
              <w:rPr>
                <w:rFonts w:ascii="仿宋_GB2312" w:hAnsi="仿宋_GB2312" w:cs="仿宋_GB2312" w:eastAsia="仿宋_GB2312"/>
                <w:sz w:val="20"/>
                <w:color w:val="000000"/>
              </w:rPr>
              <w:t>致：</w:t>
            </w:r>
            <w:r>
              <w:rPr>
                <w:rFonts w:ascii="仿宋_GB2312" w:hAnsi="仿宋_GB2312" w:cs="仿宋_GB2312" w:eastAsia="仿宋_GB2312"/>
                <w:sz w:val="20"/>
                <w:u w:val="single"/>
              </w:rPr>
              <w:t xml:space="preserve">    </w:t>
            </w:r>
            <w:r>
              <w:rPr>
                <w:rFonts w:ascii="仿宋_GB2312" w:hAnsi="仿宋_GB2312" w:cs="仿宋_GB2312" w:eastAsia="仿宋_GB2312"/>
                <w:sz w:val="20"/>
                <w:i/>
                <w:color w:val="000000"/>
                <w:u w:val="single"/>
              </w:rPr>
              <w:t>（采购人、采购代 理机构）</w:t>
            </w:r>
            <w:r>
              <w:rPr>
                <w:rFonts w:ascii="仿宋_GB2312" w:hAnsi="仿宋_GB2312" w:cs="仿宋_GB2312" w:eastAsia="仿宋_GB2312"/>
                <w:sz w:val="20"/>
                <w:u w:val="single"/>
              </w:rPr>
              <w:t xml:space="preserve">  </w:t>
            </w:r>
          </w:p>
          <w:p>
            <w:pPr>
              <w:pStyle w:val="null3"/>
              <w:ind w:firstLine="435"/>
              <w:jc w:val="left"/>
            </w:pPr>
            <w:r>
              <w:rPr>
                <w:rFonts w:ascii="仿宋_GB2312" w:hAnsi="仿宋_GB2312" w:cs="仿宋_GB2312" w:eastAsia="仿宋_GB2312"/>
                <w:sz w:val="20"/>
                <w:color w:val="000000"/>
              </w:rPr>
              <w:t>我单位参与</w:t>
            </w:r>
            <w:r>
              <w:rPr>
                <w:rFonts w:ascii="仿宋_GB2312" w:hAnsi="仿宋_GB2312" w:cs="仿宋_GB2312" w:eastAsia="仿宋_GB2312"/>
                <w:sz w:val="20"/>
                <w:u w:val="single"/>
              </w:rPr>
              <w:t xml:space="preserve">  </w:t>
            </w:r>
            <w:r>
              <w:rPr>
                <w:rFonts w:ascii="仿宋_GB2312" w:hAnsi="仿宋_GB2312" w:cs="仿宋_GB2312" w:eastAsia="仿宋_GB2312"/>
                <w:sz w:val="20"/>
                <w:color w:val="000000"/>
                <w:u w:val="single"/>
              </w:rPr>
              <w:t>（</w:t>
            </w:r>
            <w:r>
              <w:rPr>
                <w:rFonts w:ascii="仿宋_GB2312" w:hAnsi="仿宋_GB2312" w:cs="仿宋_GB2312" w:eastAsia="仿宋_GB2312"/>
                <w:sz w:val="20"/>
                <w:i/>
                <w:color w:val="000000"/>
                <w:u w:val="single"/>
              </w:rPr>
              <w:t>项目名称</w:t>
            </w:r>
            <w:r>
              <w:rPr>
                <w:rFonts w:ascii="仿宋_GB2312" w:hAnsi="仿宋_GB2312" w:cs="仿宋_GB2312" w:eastAsia="仿宋_GB2312"/>
                <w:sz w:val="20"/>
                <w:color w:val="000000"/>
                <w:u w:val="single"/>
              </w:rPr>
              <w:t>）</w:t>
            </w:r>
            <w:r>
              <w:rPr>
                <w:rFonts w:ascii="仿宋_GB2312" w:hAnsi="仿宋_GB2312" w:cs="仿宋_GB2312" w:eastAsia="仿宋_GB2312"/>
                <w:sz w:val="20"/>
                <w:u w:val="single"/>
              </w:rPr>
              <w:t xml:space="preserve">  </w:t>
            </w:r>
            <w:r>
              <w:rPr>
                <w:rFonts w:ascii="仿宋_GB2312" w:hAnsi="仿宋_GB2312" w:cs="仿宋_GB2312" w:eastAsia="仿宋_GB2312"/>
                <w:sz w:val="20"/>
                <w:color w:val="000000"/>
                <w:u w:val="single"/>
              </w:rPr>
              <w:t>（项目编号：</w:t>
            </w:r>
            <w:r>
              <w:rPr>
                <w:rFonts w:ascii="仿宋_GB2312" w:hAnsi="仿宋_GB2312" w:cs="仿宋_GB2312" w:eastAsia="仿宋_GB2312"/>
                <w:sz w:val="20"/>
                <w:u w:val="single"/>
              </w:rPr>
              <w:t xml:space="preserve">    </w:t>
            </w:r>
            <w:r>
              <w:rPr>
                <w:rFonts w:ascii="仿宋_GB2312" w:hAnsi="仿宋_GB2312" w:cs="仿宋_GB2312" w:eastAsia="仿宋_GB2312"/>
                <w:sz w:val="20"/>
                <w:color w:val="000000"/>
                <w:u w:val="single"/>
              </w:rPr>
              <w:t>）</w:t>
            </w:r>
            <w:r>
              <w:rPr>
                <w:rFonts w:ascii="仿宋_GB2312" w:hAnsi="仿宋_GB2312" w:cs="仿宋_GB2312" w:eastAsia="仿宋_GB2312"/>
                <w:sz w:val="20"/>
                <w:color w:val="000000"/>
              </w:rPr>
              <w:t>项目的政府采购活动，现承诺如下：</w:t>
            </w:r>
          </w:p>
          <w:p>
            <w:pPr>
              <w:pStyle w:val="null3"/>
              <w:ind w:firstLine="435"/>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我单位具有符合采购文件资格要求的财务状况报告。</w:t>
            </w:r>
          </w:p>
          <w:p>
            <w:pPr>
              <w:pStyle w:val="null3"/>
              <w:ind w:firstLine="435"/>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我单位具有符合采购文件资格要求的依法缴纳税收的相关证明材料。</w:t>
            </w:r>
          </w:p>
          <w:p>
            <w:pPr>
              <w:pStyle w:val="null3"/>
              <w:ind w:firstLine="435"/>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我单位具有符合采购文件资格要求的依法缴纳社会保障资金的相关证明材料。</w:t>
            </w:r>
          </w:p>
          <w:p>
            <w:pPr>
              <w:pStyle w:val="null3"/>
              <w:ind w:firstLine="435"/>
              <w:jc w:val="left"/>
            </w:pPr>
            <w:r>
              <w:rPr>
                <w:rFonts w:ascii="仿宋_GB2312" w:hAnsi="仿宋_GB2312" w:cs="仿宋_GB2312" w:eastAsia="仿宋_GB2312"/>
                <w:sz w:val="20"/>
                <w:color w:val="000000"/>
              </w:rPr>
              <w:t>若我单位承诺不实，自愿承担提供虚假材料谋取中标、成交的法律责任。</w:t>
            </w:r>
          </w:p>
          <w:p>
            <w:pPr>
              <w:pStyle w:val="null3"/>
              <w:ind w:firstLine="435"/>
              <w:jc w:val="left"/>
            </w:pPr>
            <w:r>
              <w:rPr>
                <w:rFonts w:ascii="仿宋_GB2312" w:hAnsi="仿宋_GB2312" w:cs="仿宋_GB2312" w:eastAsia="仿宋_GB2312"/>
                <w:sz w:val="20"/>
              </w:rPr>
              <w:t xml:space="preserve"> </w:t>
            </w:r>
          </w:p>
          <w:p>
            <w:pPr>
              <w:pStyle w:val="null3"/>
              <w:ind w:firstLine="435"/>
              <w:jc w:val="left"/>
            </w:pPr>
            <w:r>
              <w:rPr>
                <w:rFonts w:ascii="仿宋_GB2312" w:hAnsi="仿宋_GB2312" w:cs="仿宋_GB2312" w:eastAsia="仿宋_GB2312"/>
                <w:sz w:val="20"/>
                <w:color w:val="000000"/>
              </w:rPr>
              <w:t>承诺供应商（全称并加盖公章）：</w:t>
            </w:r>
            <w:r>
              <w:rPr>
                <w:rFonts w:ascii="仿宋_GB2312" w:hAnsi="仿宋_GB2312" w:cs="仿宋_GB2312" w:eastAsia="仿宋_GB2312"/>
                <w:sz w:val="20"/>
                <w:u w:val="single"/>
              </w:rPr>
              <w:t xml:space="preserve">            </w:t>
            </w:r>
          </w:p>
          <w:p>
            <w:pPr>
              <w:pStyle w:val="null3"/>
              <w:ind w:firstLine="435"/>
              <w:jc w:val="left"/>
            </w:pPr>
            <w:r>
              <w:rPr>
                <w:rFonts w:ascii="仿宋_GB2312" w:hAnsi="仿宋_GB2312" w:cs="仿宋_GB2312" w:eastAsia="仿宋_GB2312"/>
                <w:sz w:val="20"/>
                <w:color w:val="000000"/>
              </w:rPr>
              <w:t>单位负责人或授权代表（签字）：</w:t>
            </w:r>
            <w:r>
              <w:rPr>
                <w:rFonts w:ascii="仿宋_GB2312" w:hAnsi="仿宋_GB2312" w:cs="仿宋_GB2312" w:eastAsia="仿宋_GB2312"/>
                <w:sz w:val="20"/>
                <w:u w:val="single"/>
              </w:rPr>
              <w:t xml:space="preserve">            </w:t>
            </w:r>
          </w:p>
          <w:p>
            <w:pPr>
              <w:pStyle w:val="null3"/>
              <w:ind w:firstLine="435"/>
              <w:jc w:val="left"/>
            </w:pPr>
            <w:r>
              <w:rPr>
                <w:rFonts w:ascii="仿宋_GB2312" w:hAnsi="仿宋_GB2312" w:cs="仿宋_GB2312" w:eastAsia="仿宋_GB2312"/>
                <w:sz w:val="20"/>
                <w:color w:val="000000"/>
              </w:rPr>
              <w:t>日期：</w:t>
            </w:r>
            <w:r>
              <w:rPr>
                <w:rFonts w:ascii="仿宋_GB2312" w:hAnsi="仿宋_GB2312" w:cs="仿宋_GB2312" w:eastAsia="仿宋_GB2312"/>
                <w:sz w:val="20"/>
                <w:u w:val="single"/>
              </w:rPr>
              <w:t xml:space="preserve">            </w:t>
            </w:r>
          </w:p>
          <w:p>
            <w:pPr>
              <w:pStyle w:val="null3"/>
              <w:ind w:firstLine="480"/>
              <w:jc w:val="left"/>
            </w:pPr>
            <w:r>
              <w:rPr>
                <w:rFonts w:ascii="仿宋_GB2312" w:hAnsi="仿宋_GB2312" w:cs="仿宋_GB2312" w:eastAsia="仿宋_GB2312"/>
                <w:sz w:val="20"/>
                <w:color w:val="000000"/>
              </w:rPr>
              <w:t>﹍﹍﹍﹍﹍﹍﹍﹍﹍﹍﹍﹍﹍﹍﹍﹍﹍﹍﹍﹍﹍﹍﹍﹍﹍﹍﹍﹍﹍﹍﹍﹍﹍</w:t>
            </w:r>
          </w:p>
          <w:p>
            <w:pPr>
              <w:pStyle w:val="null3"/>
              <w:ind w:firstLine="480"/>
              <w:jc w:val="left"/>
            </w:pPr>
            <w:r>
              <w:rPr>
                <w:rFonts w:ascii="仿宋_GB2312" w:hAnsi="仿宋_GB2312" w:cs="仿宋_GB2312" w:eastAsia="仿宋_GB2312"/>
                <w:sz w:val="20"/>
                <w:color w:val="000000"/>
              </w:rPr>
              <w:t>说明：</w:t>
            </w:r>
            <w:r>
              <w:rPr>
                <w:rFonts w:ascii="仿宋_GB2312" w:hAnsi="仿宋_GB2312" w:cs="仿宋_GB2312" w:eastAsia="仿宋_GB2312"/>
                <w:sz w:val="20"/>
                <w:color w:val="000000"/>
              </w:rPr>
              <w:t>1.</w:t>
            </w:r>
            <w:r>
              <w:rPr>
                <w:rFonts w:ascii="仿宋_GB2312" w:hAnsi="仿宋_GB2312" w:cs="仿宋_GB2312" w:eastAsia="仿宋_GB2312"/>
                <w:sz w:val="20"/>
                <w:color w:val="000000"/>
              </w:rPr>
              <w:t>供应商可自行选择是否提供本承诺函，若不提供本承诺函的，应按采购文件要求提供相应的证明材料。</w:t>
            </w:r>
          </w:p>
          <w:p>
            <w:pPr>
              <w:pStyle w:val="null3"/>
              <w:ind w:firstLine="48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供应商可删减承诺事项，如删去承诺第</w:t>
            </w:r>
            <w:r>
              <w:rPr>
                <w:rFonts w:ascii="仿宋_GB2312" w:hAnsi="仿宋_GB2312" w:cs="仿宋_GB2312" w:eastAsia="仿宋_GB2312"/>
                <w:sz w:val="20"/>
                <w:color w:val="000000"/>
              </w:rPr>
              <w:t>1</w:t>
            </w:r>
            <w:r>
              <w:rPr>
                <w:rFonts w:ascii="仿宋_GB2312" w:hAnsi="仿宋_GB2312" w:cs="仿宋_GB2312" w:eastAsia="仿宋_GB2312"/>
                <w:sz w:val="20"/>
                <w:color w:val="000000"/>
              </w:rPr>
              <w:t>项的，则应按采购文件要求提供财务状况报告。</w:t>
            </w:r>
          </w:p>
        </w:tc>
      </w:tr>
    </w:tbl>
    <w:p>
      <w:pPr>
        <w:pStyle w:val="null3"/>
        <w:ind w:firstLine="480"/>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[350201]GTCG[GK]2025001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厦门市大西山一类固定监测站升级改造项目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1(厦门市大西山一类固定监测站升级改造)</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厦门市大西山一类固定监测站升级改造</w:t>
            </w:r>
          </w:p>
        </w:tc>
        <w:tc>
          <w:tcPr>
            <w:tcW w:type="dxa" w:w="1661"/>
          </w:tcPr>
          <w:p>
            <w:pPr>
              <w:pStyle w:val="null3"/>
              <w:jc w:val="left"/>
            </w:pPr>
            <w:r>
              <w:rPr>
                <w:rFonts w:ascii="仿宋_GB2312" w:hAnsi="仿宋_GB2312" w:cs="仿宋_GB2312" w:eastAsia="仿宋_GB2312"/>
              </w:rPr>
              <w:t xml:space="preserve"> 3010000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[350201]GTCG[GK]2025001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厦门市大西山一类固定监测站升级改造项目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厦门市大西山一类固定监测站升级改造</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厦门市大西山一类固定监测站升级改造</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厦门市大西山一类固定监测站升级改造</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3010000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